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D051B">
      <w:pPr>
        <w:pStyle w:val="2"/>
        <w:numPr>
          <w:ilvl w:val="0"/>
          <w:numId w:val="0"/>
        </w:numPr>
        <w:outlineLvl w:val="2"/>
        <w:rPr>
          <w:rFonts w:hint="eastAsia" w:hAnsi="宋体" w:cs="宋体"/>
          <w:color w:val="auto"/>
          <w:sz w:val="24"/>
          <w:szCs w:val="24"/>
          <w:lang w:val="en-US" w:eastAsia="zh-CN"/>
        </w:rPr>
      </w:pPr>
    </w:p>
    <w:p w14:paraId="38DFFB0C">
      <w:pPr>
        <w:pStyle w:val="2"/>
        <w:numPr>
          <w:ilvl w:val="0"/>
          <w:numId w:val="0"/>
        </w:numPr>
        <w:spacing w:line="240" w:lineRule="auto"/>
        <w:jc w:val="center"/>
        <w:outlineLvl w:val="2"/>
        <w:rPr>
          <w:rFonts w:hint="eastAsia" w:ascii="华文中宋" w:hAnsi="华文中宋" w:eastAsia="华文中宋" w:cs="宋体"/>
          <w:b/>
          <w:color w:val="auto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color w:val="auto"/>
          <w:sz w:val="32"/>
          <w:szCs w:val="32"/>
        </w:rPr>
        <w:t>《“一带一路”史研究》体例规范</w:t>
      </w:r>
    </w:p>
    <w:p w14:paraId="11341A01">
      <w:pPr>
        <w:pStyle w:val="2"/>
        <w:numPr>
          <w:ilvl w:val="0"/>
          <w:numId w:val="0"/>
        </w:numPr>
        <w:spacing w:line="240" w:lineRule="auto"/>
        <w:ind w:firstLine="420" w:firstLineChars="200"/>
        <w:outlineLvl w:val="2"/>
        <w:rPr>
          <w:rFonts w:hint="eastAsia" w:hAnsi="宋体" w:cs="宋体"/>
          <w:color w:val="auto"/>
          <w:sz w:val="21"/>
          <w:szCs w:val="21"/>
          <w:lang w:val="en-US" w:eastAsia="zh-CN"/>
        </w:rPr>
      </w:pPr>
    </w:p>
    <w:p w14:paraId="4667671D">
      <w:pPr>
        <w:pStyle w:val="2"/>
        <w:numPr>
          <w:ilvl w:val="0"/>
          <w:numId w:val="0"/>
        </w:numPr>
        <w:spacing w:line="240" w:lineRule="auto"/>
        <w:ind w:firstLine="420" w:firstLineChars="200"/>
        <w:outlineLvl w:val="2"/>
        <w:rPr>
          <w:rFonts w:hint="default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lang w:val="en-US" w:eastAsia="zh-CN"/>
        </w:rPr>
        <w:t>本刊遵从</w:t>
      </w:r>
      <w:r>
        <w:rPr>
          <w:rFonts w:hint="eastAsia" w:hAnsi="宋体" w:cs="宋体"/>
          <w:color w:val="auto"/>
          <w:sz w:val="21"/>
          <w:szCs w:val="21"/>
          <w:lang w:eastAsia="zh-CN"/>
        </w:rPr>
        <w:t>《中国社会科学出版社学术著作体例规范》</w:t>
      </w:r>
      <w:r>
        <w:rPr>
          <w:rFonts w:hint="eastAsia" w:hAnsi="宋体" w:cs="宋体"/>
          <w:color w:val="auto"/>
          <w:sz w:val="21"/>
          <w:szCs w:val="21"/>
          <w:lang w:val="en-US" w:eastAsia="zh-CN"/>
        </w:rPr>
        <w:t>的要求，具体如下。</w:t>
      </w:r>
    </w:p>
    <w:p w14:paraId="6721F052">
      <w:pPr>
        <w:numPr>
          <w:ilvl w:val="0"/>
          <w:numId w:val="1"/>
        </w:numPr>
        <w:spacing w:line="240" w:lineRule="auto"/>
        <w:rPr>
          <w:rFonts w:hint="eastAsia"/>
          <w:b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color w:val="auto"/>
          <w:sz w:val="21"/>
          <w:szCs w:val="21"/>
          <w:lang w:val="en-US" w:eastAsia="zh-CN"/>
        </w:rPr>
        <w:t>标题与摘要</w:t>
      </w:r>
    </w:p>
    <w:p w14:paraId="09ECB56A">
      <w:pPr>
        <w:keepNext w:val="0"/>
        <w:keepLines w:val="0"/>
        <w:widowControl/>
        <w:suppressLineNumbers w:val="0"/>
        <w:spacing w:line="240" w:lineRule="auto"/>
        <w:ind w:firstLine="420" w:firstLineChars="200"/>
        <w:jc w:val="left"/>
        <w:rPr>
          <w:rFonts w:hint="eastAsia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中文标题一般不超过20个字，应准确反映研究主题。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中文摘要应置于首页正文前，约300字，概述研究问题、主要内容、研究方法、结论与创新。关键词3—6个，置于摘要下方。摘要与关键词须提供英文对照。</w:t>
      </w:r>
    </w:p>
    <w:p w14:paraId="7BAD3348">
      <w:pPr>
        <w:numPr>
          <w:ilvl w:val="0"/>
          <w:numId w:val="1"/>
        </w:numPr>
        <w:spacing w:line="240" w:lineRule="auto"/>
        <w:rPr>
          <w:rFonts w:hint="eastAsia"/>
          <w:b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color w:val="auto"/>
          <w:sz w:val="21"/>
          <w:szCs w:val="21"/>
          <w:lang w:val="en-US" w:eastAsia="zh-CN"/>
        </w:rPr>
        <w:t>论文信息</w:t>
      </w:r>
    </w:p>
    <w:p w14:paraId="2D00B50B">
      <w:pPr>
        <w:numPr>
          <w:ilvl w:val="0"/>
          <w:numId w:val="0"/>
        </w:numP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论文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首页下方须注明基金项目（如有），包括项目名称及编号。</w:t>
      </w:r>
    </w:p>
    <w:p w14:paraId="3D9F2882">
      <w:pPr>
        <w:spacing w:line="240" w:lineRule="auto"/>
        <w:rPr>
          <w:rFonts w:hint="default" w:eastAsia="宋体"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color w:val="auto"/>
          <w:sz w:val="21"/>
          <w:szCs w:val="21"/>
          <w:lang w:val="en-US" w:eastAsia="zh-CN"/>
        </w:rPr>
        <w:t>三、正文格式</w:t>
      </w:r>
    </w:p>
    <w:p w14:paraId="0E45AA0C">
      <w:pPr>
        <w:pStyle w:val="2"/>
        <w:spacing w:line="240" w:lineRule="auto"/>
        <w:ind w:firstLine="422" w:firstLineChars="200"/>
        <w:outlineLvl w:val="2"/>
        <w:rPr>
          <w:rFonts w:hint="eastAsia" w:ascii="楷体_GB2312" w:hAnsi="宋体" w:eastAsia="楷体_GB2312" w:cs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auto"/>
          <w:sz w:val="21"/>
          <w:szCs w:val="21"/>
          <w:highlight w:val="none"/>
          <w:lang w:val="en-US" w:eastAsia="zh-CN"/>
        </w:rPr>
        <w:t>（一）格式</w:t>
      </w:r>
    </w:p>
    <w:p w14:paraId="2C7A9A90">
      <w:pPr>
        <w:pStyle w:val="2"/>
        <w:spacing w:line="240" w:lineRule="auto"/>
        <w:ind w:firstLine="420" w:firstLineChars="200"/>
        <w:outlineLvl w:val="2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字体与字号：正文使用五号宋体（或按编辑部具体要求调整），通栏排版。</w:t>
      </w:r>
    </w:p>
    <w:p w14:paraId="559F5AEF">
      <w:pPr>
        <w:pStyle w:val="2"/>
        <w:spacing w:line="240" w:lineRule="auto"/>
        <w:ind w:firstLine="420" w:firstLineChars="200"/>
        <w:outlineLvl w:val="2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段落格式：段落首行缩进2字符，行间距为1.5倍行距（或按编辑部具体要求调整）。</w:t>
      </w:r>
    </w:p>
    <w:p w14:paraId="362B4447">
      <w:pPr>
        <w:pStyle w:val="2"/>
        <w:spacing w:line="240" w:lineRule="auto"/>
        <w:ind w:firstLine="420" w:firstLineChars="200"/>
        <w:outlineLvl w:val="2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标题层次：文内标题力求简洁、明确，层次一般不超过4级。</w:t>
      </w:r>
    </w:p>
    <w:p w14:paraId="5013961B">
      <w:pPr>
        <w:pStyle w:val="2"/>
        <w:spacing w:line="240" w:lineRule="auto"/>
        <w:ind w:firstLine="422" w:firstLineChars="200"/>
        <w:outlineLvl w:val="2"/>
        <w:rPr>
          <w:rFonts w:hint="default" w:ascii="楷体_GB2312" w:hAnsi="宋体" w:eastAsia="楷体_GB2312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auto"/>
          <w:sz w:val="21"/>
          <w:szCs w:val="21"/>
          <w:lang w:val="en-US" w:eastAsia="zh-CN"/>
        </w:rPr>
        <w:t>（二）引文</w:t>
      </w:r>
    </w:p>
    <w:p w14:paraId="26774599">
      <w:pPr>
        <w:pStyle w:val="2"/>
        <w:spacing w:line="240" w:lineRule="auto"/>
        <w:ind w:firstLine="420" w:firstLineChars="200"/>
        <w:rPr>
          <w:rFonts w:hint="eastAsia"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 xml:space="preserve">1．引文应遵循准确、择优、适度等原则。 </w:t>
      </w:r>
    </w:p>
    <w:p w14:paraId="670EEE2D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hAnsi="宋体" w:cs="宋体"/>
          <w:color w:val="auto"/>
          <w:sz w:val="21"/>
          <w:szCs w:val="21"/>
        </w:rPr>
        <w:t>．重要文献（马克思、恩格斯、列宁等经典作家的著作，毛泽东、邓小平、江泽民、胡锦涛习近平等党和国家领导人的著作，中央文件等）均须校核，并以人民出版社的最新版本为准。作者以往的著作或文章结集出版，可依当时的版本。</w:t>
      </w:r>
    </w:p>
    <w:p w14:paraId="4174B41D">
      <w:pPr>
        <w:pStyle w:val="2"/>
        <w:spacing w:line="240" w:lineRule="auto"/>
        <w:ind w:firstLine="420" w:firstLineChars="200"/>
        <w:rPr>
          <w:rFonts w:hint="eastAsia" w:ascii="仿宋_GB2312" w:hAnsi="宋体" w:eastAsia="仿宋_GB2312" w:cs="宋体"/>
          <w:color w:val="auto"/>
          <w:sz w:val="21"/>
          <w:szCs w:val="21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</w:rPr>
        <w:t>3．引文为不完整的字句，在正文中需加引号标出；引用相对完整的段落或两段以上的引文，须将引文变换字体，单独缩进排版，不加引号（原文自带的引号保留）。</w:t>
      </w:r>
    </w:p>
    <w:p w14:paraId="5FC51C2F">
      <w:pPr>
        <w:pStyle w:val="2"/>
        <w:spacing w:line="240" w:lineRule="auto"/>
        <w:ind w:firstLine="422" w:firstLineChars="200"/>
        <w:outlineLvl w:val="2"/>
        <w:rPr>
          <w:rFonts w:ascii="楷体_GB2312" w:hAnsi="宋体" w:eastAsia="楷体_GB2312" w:cs="宋体"/>
          <w:b/>
          <w:color w:val="auto"/>
          <w:sz w:val="21"/>
          <w:szCs w:val="21"/>
        </w:rPr>
      </w:pPr>
      <w:r>
        <w:rPr>
          <w:rFonts w:hint="eastAsia" w:ascii="楷体_GB2312" w:hAnsi="宋体" w:eastAsia="楷体_GB2312" w:cs="宋体"/>
          <w:b/>
          <w:color w:val="auto"/>
          <w:sz w:val="21"/>
          <w:szCs w:val="21"/>
        </w:rPr>
        <w:t>（</w:t>
      </w:r>
      <w:r>
        <w:rPr>
          <w:rFonts w:hint="eastAsia" w:ascii="楷体_GB2312" w:hAnsi="宋体" w:eastAsia="楷体_GB2312" w:cs="宋体"/>
          <w:b/>
          <w:color w:val="auto"/>
          <w:sz w:val="21"/>
          <w:szCs w:val="21"/>
          <w:lang w:val="en-US" w:eastAsia="zh-CN"/>
        </w:rPr>
        <w:t>三</w:t>
      </w:r>
      <w:r>
        <w:rPr>
          <w:rFonts w:hint="eastAsia" w:ascii="楷体_GB2312" w:hAnsi="宋体" w:eastAsia="楷体_GB2312" w:cs="宋体"/>
          <w:b/>
          <w:color w:val="auto"/>
          <w:sz w:val="21"/>
          <w:szCs w:val="21"/>
        </w:rPr>
        <w:t>）数字用法</w:t>
      </w:r>
    </w:p>
    <w:p w14:paraId="72834E78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数字使用应遵守《出版物上数字用法的规定》</w:t>
      </w:r>
      <w:r>
        <w:rPr>
          <w:rFonts w:hAnsi="宋体" w:cs="宋体"/>
          <w:color w:val="auto"/>
          <w:sz w:val="21"/>
          <w:szCs w:val="21"/>
        </w:rPr>
        <w:t>（GB/T 15835—</w:t>
      </w:r>
      <w:r>
        <w:rPr>
          <w:rFonts w:hint="eastAsia" w:hAnsi="宋体" w:cs="宋体"/>
          <w:color w:val="auto"/>
          <w:sz w:val="21"/>
          <w:szCs w:val="21"/>
        </w:rPr>
        <w:t>2011</w:t>
      </w:r>
      <w:r>
        <w:rPr>
          <w:rFonts w:hAnsi="宋体" w:cs="宋体"/>
          <w:color w:val="auto"/>
          <w:sz w:val="21"/>
          <w:szCs w:val="21"/>
        </w:rPr>
        <w:t>）</w:t>
      </w:r>
      <w:r>
        <w:rPr>
          <w:rFonts w:hint="eastAsia" w:hAnsi="宋体" w:cs="宋体"/>
          <w:color w:val="auto"/>
          <w:sz w:val="21"/>
          <w:szCs w:val="21"/>
        </w:rPr>
        <w:t>。一般原则：一是数字用法要得体，二是局部体例要统一。特别提示：</w:t>
      </w:r>
    </w:p>
    <w:p w14:paraId="3E925504">
      <w:pPr>
        <w:pStyle w:val="2"/>
        <w:numPr>
          <w:ilvl w:val="0"/>
          <w:numId w:val="0"/>
        </w:numPr>
        <w:tabs>
          <w:tab w:val="left" w:pos="643"/>
        </w:tabs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1．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公历世纪、年代、年、月、日使用阿拉伯数字。</w:t>
      </w:r>
    </w:p>
    <w:p w14:paraId="5209A4DF">
      <w:pPr>
        <w:pStyle w:val="2"/>
        <w:numPr>
          <w:ilvl w:val="0"/>
          <w:numId w:val="0"/>
        </w:numPr>
        <w:tabs>
          <w:tab w:val="left" w:pos="643"/>
        </w:tabs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2.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时、分、秒使用阿拉伯数字。</w:t>
      </w:r>
    </w:p>
    <w:p w14:paraId="12F72A2C">
      <w:pPr>
        <w:pStyle w:val="2"/>
        <w:numPr>
          <w:ilvl w:val="0"/>
          <w:numId w:val="0"/>
        </w:numPr>
        <w:spacing w:line="240" w:lineRule="auto"/>
        <w:ind w:left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  <w:lang w:val="en-US" w:eastAsia="zh-CN"/>
        </w:rPr>
        <w:t xml:space="preserve">3. </w:t>
      </w:r>
      <w:r>
        <w:rPr>
          <w:rFonts w:hint="eastAsia" w:hAnsi="宋体" w:cs="宋体"/>
          <w:color w:val="auto"/>
          <w:sz w:val="21"/>
          <w:szCs w:val="21"/>
        </w:rPr>
        <w:t>年份不能随意简写、缩写。</w:t>
      </w:r>
    </w:p>
    <w:p w14:paraId="6C1B2881">
      <w:pPr>
        <w:pStyle w:val="2"/>
        <w:numPr>
          <w:ilvl w:val="0"/>
          <w:numId w:val="0"/>
        </w:numPr>
        <w:spacing w:line="240" w:lineRule="auto"/>
        <w:ind w:left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  <w:lang w:val="en-US" w:eastAsia="zh-CN"/>
        </w:rPr>
        <w:t xml:space="preserve">4. </w:t>
      </w:r>
      <w:r>
        <w:rPr>
          <w:rFonts w:hint="eastAsia" w:hAnsi="宋体" w:cs="宋体"/>
          <w:color w:val="auto"/>
          <w:sz w:val="21"/>
          <w:szCs w:val="21"/>
        </w:rPr>
        <w:t>中国干支纪年和夏历月日使用汉字；星期几使用汉字；概数用汉字。</w:t>
      </w:r>
    </w:p>
    <w:p w14:paraId="4E893561">
      <w:pPr>
        <w:pStyle w:val="2"/>
        <w:numPr>
          <w:ilvl w:val="0"/>
          <w:numId w:val="0"/>
        </w:numPr>
        <w:spacing w:line="240" w:lineRule="auto"/>
        <w:ind w:firstLine="420" w:firstLineChars="200"/>
        <w:rPr>
          <w:rFonts w:hint="eastAsia"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  <w:lang w:val="en-US" w:eastAsia="zh-CN"/>
        </w:rPr>
        <w:t xml:space="preserve">5. </w:t>
      </w:r>
      <w:r>
        <w:rPr>
          <w:rFonts w:hint="eastAsia" w:hAnsi="宋体" w:cs="宋体"/>
          <w:color w:val="auto"/>
          <w:sz w:val="21"/>
          <w:szCs w:val="21"/>
        </w:rPr>
        <w:t>中国清代和清代以前的历史纪年、各民族的非公历纪年使用汉字，并采用阿拉伯数字括注公历。</w:t>
      </w:r>
    </w:p>
    <w:p w14:paraId="474568ED">
      <w:pPr>
        <w:pStyle w:val="2"/>
        <w:numPr>
          <w:ilvl w:val="0"/>
          <w:numId w:val="0"/>
        </w:numPr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  <w:lang w:val="en-US" w:eastAsia="zh-CN"/>
        </w:rPr>
        <w:t xml:space="preserve">6. </w:t>
      </w:r>
      <w:r>
        <w:rPr>
          <w:rFonts w:hint="eastAsia" w:hAnsi="宋体" w:cs="宋体"/>
          <w:color w:val="auto"/>
          <w:sz w:val="21"/>
          <w:szCs w:val="21"/>
        </w:rPr>
        <w:t>专著若不属于专业性科技出版物，按照国家标准，四位以内的整数可以不分节；五位以上的数字尾数为零的，可以“万”、“亿”作单位。数值巨大的精确数字，作为特例，可以同时使用“亿”、“万”作单位。较长的数字中间空半格，一般不用“千分号</w:t>
      </w:r>
      <w:r>
        <w:rPr>
          <w:rFonts w:hAnsi="宋体" w:cs="宋体"/>
          <w:color w:val="auto"/>
          <w:sz w:val="21"/>
          <w:szCs w:val="21"/>
        </w:rPr>
        <w:t>”</w:t>
      </w:r>
      <w:r>
        <w:rPr>
          <w:rFonts w:hint="eastAsia" w:hAnsi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hAnsi="宋体" w:cs="宋体"/>
          <w:color w:val="auto"/>
          <w:sz w:val="21"/>
          <w:szCs w:val="21"/>
        </w:rPr>
        <w:t>例：xxx xxx xxx。</w:t>
      </w:r>
    </w:p>
    <w:p w14:paraId="6D8185B9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3D2ECBBC">
      <w:pPr>
        <w:pStyle w:val="2"/>
        <w:spacing w:line="240" w:lineRule="auto"/>
        <w:ind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我国1982年人口普查人数为10亿817万5288人；1990年人口普查人数为11亿3368万2501人。</w:t>
      </w:r>
    </w:p>
    <w:p w14:paraId="145D16E7">
      <w:pPr>
        <w:pStyle w:val="2"/>
        <w:numPr>
          <w:ilvl w:val="0"/>
          <w:numId w:val="0"/>
        </w:numPr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  <w:lang w:val="en-US" w:eastAsia="zh-CN"/>
        </w:rPr>
        <w:t xml:space="preserve">7. </w:t>
      </w:r>
      <w:r>
        <w:rPr>
          <w:rFonts w:hint="eastAsia" w:hAnsi="宋体" w:cs="宋体"/>
          <w:color w:val="auto"/>
          <w:sz w:val="21"/>
          <w:szCs w:val="21"/>
        </w:rPr>
        <w:t>用数词命名的历史事件，应在数词外加引号，数词间加间隔号。例如：“一二·九”运动、“九·一八”事变。如果事件比较有名，</w:t>
      </w:r>
      <w:r>
        <w:rPr>
          <w:rFonts w:hAnsi="宋体" w:cs="宋体"/>
          <w:color w:val="auto"/>
          <w:sz w:val="21"/>
          <w:szCs w:val="21"/>
        </w:rPr>
        <w:t>或</w:t>
      </w:r>
      <w:r>
        <w:rPr>
          <w:rFonts w:hint="eastAsia" w:hAnsi="宋体" w:cs="宋体"/>
          <w:color w:val="auto"/>
          <w:sz w:val="21"/>
          <w:szCs w:val="21"/>
        </w:rPr>
        <w:t>不加引号或间隔号不会妨碍理解</w:t>
      </w:r>
      <w:r>
        <w:rPr>
          <w:rFonts w:hAnsi="宋体" w:cs="宋体"/>
          <w:color w:val="auto"/>
          <w:sz w:val="21"/>
          <w:szCs w:val="21"/>
        </w:rPr>
        <w:t>、引起歧议</w:t>
      </w:r>
      <w:r>
        <w:rPr>
          <w:rFonts w:hint="eastAsia" w:hAnsi="宋体" w:cs="宋体"/>
          <w:color w:val="auto"/>
          <w:sz w:val="21"/>
          <w:szCs w:val="21"/>
        </w:rPr>
        <w:t>，也可以不加引号和间隔号。例如：六一儿童节、五一劳动节、五四运动。用地名简称事件的不加引号。例如：遵义会议、卢沟桥事变。</w:t>
      </w:r>
    </w:p>
    <w:p w14:paraId="2D6C0B96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8.</w:t>
      </w:r>
      <w:r>
        <w:rPr>
          <w:rFonts w:hint="eastAsia" w:hAnsi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hAnsi="宋体" w:cs="宋体"/>
          <w:color w:val="auto"/>
          <w:sz w:val="21"/>
          <w:szCs w:val="21"/>
        </w:rPr>
        <w:t>整数年代的表述可沿用汉语习惯表述，也可采用外文惯用表达方式，如“20世纪50年代”也可表述为“1950年代”。</w:t>
      </w:r>
    </w:p>
    <w:p w14:paraId="68C4C60B">
      <w:pPr>
        <w:pStyle w:val="2"/>
        <w:spacing w:line="240" w:lineRule="auto"/>
        <w:ind w:firstLine="422" w:firstLineChars="200"/>
        <w:outlineLvl w:val="2"/>
        <w:rPr>
          <w:rFonts w:ascii="楷体_GB2312" w:hAnsi="宋体" w:eastAsia="楷体_GB2312" w:cs="宋体"/>
          <w:b/>
          <w:color w:val="auto"/>
          <w:sz w:val="21"/>
          <w:szCs w:val="21"/>
        </w:rPr>
      </w:pPr>
      <w:r>
        <w:rPr>
          <w:rFonts w:hint="eastAsia" w:ascii="楷体_GB2312" w:hAnsi="宋体" w:eastAsia="楷体_GB2312" w:cs="宋体"/>
          <w:b/>
          <w:color w:val="auto"/>
          <w:sz w:val="21"/>
          <w:szCs w:val="21"/>
        </w:rPr>
        <w:t>（</w:t>
      </w:r>
      <w:r>
        <w:rPr>
          <w:rFonts w:hint="eastAsia" w:ascii="楷体_GB2312" w:hAnsi="宋体" w:eastAsia="楷体_GB2312" w:cs="宋体"/>
          <w:b/>
          <w:color w:val="auto"/>
          <w:sz w:val="21"/>
          <w:szCs w:val="21"/>
          <w:lang w:val="en-US" w:eastAsia="zh-CN"/>
        </w:rPr>
        <w:t>四</w:t>
      </w:r>
      <w:r>
        <w:rPr>
          <w:rFonts w:hint="eastAsia" w:ascii="楷体_GB2312" w:hAnsi="宋体" w:eastAsia="楷体_GB2312" w:cs="宋体"/>
          <w:b/>
          <w:color w:val="auto"/>
          <w:sz w:val="21"/>
          <w:szCs w:val="21"/>
        </w:rPr>
        <w:t>）图表</w:t>
      </w:r>
    </w:p>
    <w:p w14:paraId="0830F97F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1．正文前的作者像、插图排在书名页后。</w:t>
      </w:r>
    </w:p>
    <w:p w14:paraId="7C286105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2．著作的表或图，应遵循先见文字后见表或图的原则。</w:t>
      </w:r>
    </w:p>
    <w:p w14:paraId="2FE66CEB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3．著作的表或图应编序号，可全书排序，亦可分章排序。</w:t>
      </w:r>
    </w:p>
    <w:p w14:paraId="616958A4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4．表或图中反映的信息应与正文表述一致。</w:t>
      </w:r>
    </w:p>
    <w:p w14:paraId="0A5A6657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5．表的项目栏中各栏标注应齐全。若所有栏的单位相同，应将该单位标注在表的右上角。</w:t>
      </w:r>
    </w:p>
    <w:p w14:paraId="455394B6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6．表中内容相同的相邻栏或上下栏，一般不得以“同左”、“同上”等字样代替（文字特别多的除外）。</w:t>
      </w:r>
    </w:p>
    <w:p w14:paraId="50987FA7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7．表题排在表的上方；表的资料来源及说明文字居表下；跨页排时，需在表的右上排“续表”字样，表头重复排出。</w:t>
      </w:r>
    </w:p>
    <w:p w14:paraId="0D82E137">
      <w:pPr>
        <w:pStyle w:val="2"/>
        <w:spacing w:line="240" w:lineRule="auto"/>
        <w:ind w:firstLine="420" w:firstLineChars="200"/>
        <w:rPr>
          <w:rFonts w:hint="eastAsia"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8．图题排在图下，相关文字说明排在图题之下。</w:t>
      </w:r>
    </w:p>
    <w:p w14:paraId="7DC864D4">
      <w:pPr>
        <w:pStyle w:val="2"/>
        <w:spacing w:line="240" w:lineRule="auto"/>
        <w:ind w:firstLine="422" w:firstLineChars="200"/>
        <w:outlineLvl w:val="2"/>
        <w:rPr>
          <w:rFonts w:ascii="楷体_GB2312" w:hAnsi="宋体" w:eastAsia="楷体_GB2312" w:cs="宋体"/>
          <w:b/>
          <w:color w:val="auto"/>
          <w:sz w:val="21"/>
          <w:szCs w:val="21"/>
        </w:rPr>
      </w:pPr>
      <w:r>
        <w:rPr>
          <w:rFonts w:hint="eastAsia" w:ascii="楷体_GB2312" w:hAnsi="宋体" w:eastAsia="楷体_GB2312" w:cs="宋体"/>
          <w:b/>
          <w:color w:val="auto"/>
          <w:sz w:val="21"/>
          <w:szCs w:val="21"/>
        </w:rPr>
        <w:t>（</w:t>
      </w:r>
      <w:r>
        <w:rPr>
          <w:rFonts w:hint="eastAsia" w:ascii="楷体_GB2312" w:hAnsi="宋体" w:eastAsia="楷体_GB2312" w:cs="宋体"/>
          <w:b/>
          <w:color w:val="auto"/>
          <w:sz w:val="21"/>
          <w:szCs w:val="21"/>
          <w:lang w:val="en-US" w:eastAsia="zh-CN"/>
        </w:rPr>
        <w:t>五</w:t>
      </w:r>
      <w:r>
        <w:rPr>
          <w:rFonts w:hint="eastAsia" w:ascii="楷体_GB2312" w:hAnsi="宋体" w:eastAsia="楷体_GB2312" w:cs="宋体"/>
          <w:b/>
          <w:color w:val="auto"/>
          <w:sz w:val="21"/>
          <w:szCs w:val="21"/>
        </w:rPr>
        <w:t>）地图</w:t>
      </w:r>
    </w:p>
    <w:p w14:paraId="0158443E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凡国家地图及各省、市、自治区的行政区划图，应完整、准确，应根据中国地图出版社最新出版的《中华人民共和国地图》、《中华人民共和国分省地图集》绘制；外国地图，应按中国地图出版社出版的《世界地图集》绘制；我国古代的地理区划的绘制，可参考中国地图出版社出版的《中国历史地图集》。注意：</w:t>
      </w:r>
    </w:p>
    <w:p w14:paraId="20FBC4FA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1．正确表示中国地图的图幅范围；正确绘制中国国界线。</w:t>
      </w:r>
    </w:p>
    <w:p w14:paraId="656A9CF1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2．中国地图不要漏绘南海诸岛、钓鱼岛、赤尾屿和黄岩岛；地图上必须正确表示香港、澳门和台湾。</w:t>
      </w:r>
    </w:p>
    <w:p w14:paraId="23D51CF8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3.</w:t>
      </w:r>
      <w:r>
        <w:rPr>
          <w:rFonts w:hint="eastAsia" w:hAnsi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hAnsi="宋体" w:cs="宋体"/>
          <w:color w:val="auto"/>
          <w:sz w:val="21"/>
          <w:szCs w:val="21"/>
        </w:rPr>
        <w:t>如非必要，尽量不使用地图。确需使用地图，一般应从自然资源部数据-数据服务-测绘网站下载标准地理底图，直接使用。</w:t>
      </w:r>
    </w:p>
    <w:p w14:paraId="03FA8C13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4.</w:t>
      </w:r>
      <w:r>
        <w:rPr>
          <w:rFonts w:hint="eastAsia" w:hAnsi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hAnsi="宋体" w:cs="宋体"/>
          <w:color w:val="auto"/>
          <w:sz w:val="21"/>
          <w:szCs w:val="21"/>
        </w:rPr>
        <w:t>作者自绘地图，必须送自然资源部审核通过，方可使用。地图审图号的位置：一般放在CIP数据下方。</w:t>
      </w:r>
    </w:p>
    <w:p w14:paraId="67F2F62E">
      <w:pPr>
        <w:pStyle w:val="2"/>
        <w:spacing w:line="240" w:lineRule="auto"/>
        <w:ind w:firstLine="422" w:firstLineChars="200"/>
        <w:outlineLvl w:val="2"/>
        <w:rPr>
          <w:rFonts w:ascii="楷体_GB2312" w:hAnsi="宋体" w:eastAsia="楷体_GB2312" w:cs="宋体"/>
          <w:b/>
          <w:color w:val="auto"/>
          <w:sz w:val="21"/>
          <w:szCs w:val="21"/>
        </w:rPr>
      </w:pPr>
      <w:r>
        <w:rPr>
          <w:rFonts w:hint="eastAsia" w:ascii="楷体_GB2312" w:hAnsi="宋体" w:eastAsia="楷体_GB2312" w:cs="宋体"/>
          <w:b/>
          <w:color w:val="auto"/>
          <w:sz w:val="21"/>
          <w:szCs w:val="21"/>
        </w:rPr>
        <w:t>（</w:t>
      </w:r>
      <w:r>
        <w:rPr>
          <w:rFonts w:hint="eastAsia" w:ascii="楷体_GB2312" w:hAnsi="宋体" w:eastAsia="楷体_GB2312" w:cs="宋体"/>
          <w:b/>
          <w:color w:val="auto"/>
          <w:sz w:val="21"/>
          <w:szCs w:val="21"/>
          <w:lang w:val="en-US" w:eastAsia="zh-CN"/>
        </w:rPr>
        <w:t>六</w:t>
      </w:r>
      <w:r>
        <w:rPr>
          <w:rFonts w:hint="eastAsia" w:ascii="楷体_GB2312" w:hAnsi="宋体" w:eastAsia="楷体_GB2312" w:cs="宋体"/>
          <w:b/>
          <w:color w:val="auto"/>
          <w:sz w:val="21"/>
          <w:szCs w:val="21"/>
        </w:rPr>
        <w:t>）计量单位</w:t>
      </w:r>
    </w:p>
    <w:p w14:paraId="31713991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执行中华人民共和国国家标准《国际单位制及其应用》（CB3100—93），全书须统一。如所依据的资料使用的计量单位与上述单位不同，应加注说明。</w:t>
      </w:r>
    </w:p>
    <w:p w14:paraId="5F3160E3">
      <w:pPr>
        <w:pStyle w:val="2"/>
        <w:spacing w:line="240" w:lineRule="auto"/>
        <w:ind w:firstLine="422" w:firstLineChars="200"/>
        <w:outlineLvl w:val="2"/>
        <w:rPr>
          <w:rFonts w:ascii="楷体_GB2312" w:hAnsi="宋体" w:eastAsia="楷体_GB2312" w:cs="宋体"/>
          <w:b/>
          <w:color w:val="auto"/>
          <w:sz w:val="21"/>
          <w:szCs w:val="21"/>
        </w:rPr>
      </w:pPr>
      <w:r>
        <w:rPr>
          <w:rFonts w:hint="eastAsia" w:ascii="楷体_GB2312" w:hAnsi="宋体" w:eastAsia="楷体_GB2312" w:cs="宋体"/>
          <w:b/>
          <w:color w:val="auto"/>
          <w:sz w:val="21"/>
          <w:szCs w:val="21"/>
        </w:rPr>
        <w:t>（</w:t>
      </w:r>
      <w:r>
        <w:rPr>
          <w:rFonts w:hint="eastAsia" w:ascii="楷体_GB2312" w:hAnsi="宋体" w:eastAsia="楷体_GB2312" w:cs="宋体"/>
          <w:b/>
          <w:color w:val="auto"/>
          <w:sz w:val="21"/>
          <w:szCs w:val="21"/>
          <w:lang w:val="en-US" w:eastAsia="zh-CN"/>
        </w:rPr>
        <w:t>七</w:t>
      </w:r>
      <w:r>
        <w:rPr>
          <w:rFonts w:hint="eastAsia" w:ascii="楷体_GB2312" w:hAnsi="宋体" w:eastAsia="楷体_GB2312" w:cs="宋体"/>
          <w:b/>
          <w:color w:val="auto"/>
          <w:sz w:val="21"/>
          <w:szCs w:val="21"/>
        </w:rPr>
        <w:t>）公式</w:t>
      </w:r>
    </w:p>
    <w:p w14:paraId="68F3FC55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社科类著作常见的公式多为数学公式。一般与正文间上下加空一行或半行，居中排，字号一般比正文小一级。公式转行时，首先考虑在“=”及类似符号（≈、≌、≦、≧等）处转行；其次考虑在“+”“-”处转行；再次考虑在“×”“÷”处转行。转行时，转行处的“=”和“+”“-”“×”“÷”放在转行式子的前面，上下行的“=”对齐，“+”“-”“×”“÷”放在“=”位置后一格。</w:t>
      </w:r>
    </w:p>
    <w:p w14:paraId="3B1CBE4F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6FB42065">
      <w:pPr>
        <w:pStyle w:val="2"/>
        <w:spacing w:line="240" w:lineRule="auto"/>
        <w:ind w:firstLine="420" w:firstLineChars="200"/>
        <w:rPr>
          <w:rFonts w:hint="eastAsia" w:hAnsi="宋体" w:cs="宋体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drawing>
          <wp:inline distT="0" distB="0" distL="114300" distR="114300">
            <wp:extent cx="2171700" cy="714375"/>
            <wp:effectExtent l="0" t="0" r="12700" b="22225"/>
            <wp:docPr id="1" name="图片 1" descr="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 w:cs="宋体"/>
          <w:color w:val="auto"/>
          <w:sz w:val="21"/>
          <w:szCs w:val="21"/>
        </w:rPr>
        <w:t>.</w:t>
      </w:r>
    </w:p>
    <w:p w14:paraId="12000B2B">
      <w:pPr>
        <w:spacing w:line="240" w:lineRule="auto"/>
        <w:rPr>
          <w:rFonts w:hint="eastAsia"/>
          <w:b w:val="0"/>
          <w:bCs/>
          <w:color w:val="auto"/>
          <w:sz w:val="21"/>
          <w:szCs w:val="21"/>
        </w:rPr>
      </w:pPr>
      <w:r>
        <w:rPr>
          <w:rFonts w:hint="eastAsia"/>
          <w:b w:val="0"/>
          <w:bCs/>
          <w:color w:val="auto"/>
          <w:sz w:val="21"/>
          <w:szCs w:val="21"/>
          <w:lang w:val="en-US" w:eastAsia="zh-CN"/>
        </w:rPr>
        <w:t>四</w:t>
      </w:r>
      <w:r>
        <w:rPr>
          <w:rFonts w:hint="eastAsia"/>
          <w:b w:val="0"/>
          <w:bCs/>
          <w:color w:val="auto"/>
          <w:sz w:val="21"/>
          <w:szCs w:val="21"/>
        </w:rPr>
        <w:t>、注释体例</w:t>
      </w:r>
    </w:p>
    <w:p w14:paraId="21C9143D">
      <w:pPr>
        <w:spacing w:line="240" w:lineRule="auto"/>
        <w:ind w:firstLine="420" w:firstLineChars="200"/>
        <w:rPr>
          <w:rFonts w:hint="default" w:ascii="楷体_GB2312" w:hAnsi="宋体" w:eastAsia="宋体" w:cs="宋体"/>
          <w:b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/>
          <w:color w:val="auto"/>
          <w:sz w:val="21"/>
          <w:szCs w:val="21"/>
        </w:rPr>
        <w:t>本刊采用页脚注，</w:t>
      </w:r>
      <w:r>
        <w:rPr>
          <w:rFonts w:ascii="TCABDU+ËÎÌå" w:hAnsi="TCABDU+ËÎÌå" w:cs="TCABDU+ËÎÌå"/>
          <w:color w:val="auto"/>
          <w:sz w:val="21"/>
          <w:szCs w:val="21"/>
        </w:rPr>
        <w:t>标圆形数码号</w:t>
      </w:r>
      <w:r>
        <w:rPr>
          <w:rFonts w:hint="eastAsia" w:ascii="宋体" w:hAnsi="宋体" w:cs="TCABDU+ËÎÌå"/>
          <w:color w:val="auto"/>
          <w:sz w:val="21"/>
          <w:szCs w:val="21"/>
        </w:rPr>
        <w:t>①②③……</w:t>
      </w:r>
      <w:r>
        <w:rPr>
          <w:rFonts w:ascii="TCABDU+ËÎÌå" w:hAnsi="TCABDU+ËÎÌå" w:cs="TCABDU+ËÎÌå"/>
          <w:color w:val="auto"/>
          <w:sz w:val="21"/>
          <w:szCs w:val="21"/>
        </w:rPr>
        <w:t>，每页</w:t>
      </w:r>
      <w:r>
        <w:rPr>
          <w:rFonts w:hint="eastAsia" w:ascii="TCABDU+ËÎÌå" w:hAnsi="TCABDU+ËÎÌå" w:cs="TCABDU+ËÎÌå"/>
          <w:color w:val="auto"/>
          <w:sz w:val="21"/>
          <w:szCs w:val="21"/>
        </w:rPr>
        <w:t>重新编号</w:t>
      </w:r>
      <w:r>
        <w:rPr>
          <w:rFonts w:ascii="TCABDU+ËÎÌå" w:hAnsi="TCABDU+ËÎÌå" w:cs="TCABDU+ËÎÌå"/>
          <w:color w:val="auto"/>
          <w:sz w:val="21"/>
          <w:szCs w:val="21"/>
        </w:rPr>
        <w:t>。</w:t>
      </w:r>
    </w:p>
    <w:p w14:paraId="677FFEF1">
      <w:pPr>
        <w:pStyle w:val="2"/>
        <w:numPr>
          <w:ilvl w:val="0"/>
          <w:numId w:val="2"/>
        </w:numPr>
        <w:spacing w:line="240" w:lineRule="auto"/>
        <w:ind w:firstLine="422" w:firstLineChars="200"/>
        <w:outlineLvl w:val="2"/>
        <w:rPr>
          <w:rFonts w:hint="eastAsia" w:ascii="楷体_GB2312" w:hAnsi="宋体" w:eastAsia="楷体_GB2312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auto"/>
          <w:sz w:val="21"/>
          <w:szCs w:val="21"/>
          <w:lang w:val="en-US" w:eastAsia="zh-CN"/>
        </w:rPr>
        <w:t>中文参考文献的</w:t>
      </w:r>
      <w:r>
        <w:rPr>
          <w:rFonts w:hint="eastAsia" w:ascii="楷体_GB2312" w:hAnsi="宋体" w:eastAsia="楷体_GB2312" w:cs="宋体"/>
          <w:b/>
          <w:color w:val="auto"/>
          <w:sz w:val="21"/>
          <w:szCs w:val="21"/>
        </w:rPr>
        <w:t>注释</w:t>
      </w:r>
      <w:r>
        <w:rPr>
          <w:rFonts w:hint="eastAsia" w:ascii="楷体_GB2312" w:hAnsi="宋体" w:eastAsia="楷体_GB2312" w:cs="宋体"/>
          <w:b/>
          <w:color w:val="auto"/>
          <w:sz w:val="21"/>
          <w:szCs w:val="21"/>
          <w:lang w:val="en-US" w:eastAsia="zh-CN"/>
        </w:rPr>
        <w:t>体例</w:t>
      </w:r>
    </w:p>
    <w:p w14:paraId="3A08B059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（1）著作</w:t>
      </w:r>
    </w:p>
    <w:p w14:paraId="2D73434E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与责任方式/书名/卷册/出版者、出版时间、版次（初版除外）/页码。〔注：责任方式为著时，“著”字可省略，其他责任方式不可省略（下同，不再标注）；中文参考文献出版地为内地出版社的一般不需标注出版地；如果同一家出版社有多个出版地，则需标明出版地；中国香港、澳门、台湾等地的出版社，以及国外出版社，需在出版社前标注出版地。〕</w:t>
      </w:r>
    </w:p>
    <w:p w14:paraId="4B12D8BC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2AEFDAE6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余东华：《论智慧》，中国社会科学出版社2005年版，第35页。</w:t>
      </w:r>
    </w:p>
    <w:p w14:paraId="2745A358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《毛泽东选集》第1卷，人民出版社1991年版，第3页。</w:t>
      </w:r>
    </w:p>
    <w:p w14:paraId="72D9EF7B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陈宗德、吴兆契主编：《撒哈拉以南非洲经济发展战略研究》，北京大学出版社1987年版，第9页。</w:t>
      </w:r>
    </w:p>
    <w:p w14:paraId="46836AC6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（2）译著</w:t>
      </w:r>
    </w:p>
    <w:p w14:paraId="6AC76436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标注顺序：责任者国别、责任者与责任方式/书名/其他责任者与责任方式/出版者、出版时间、版次（初版除外）/页码。</w:t>
      </w:r>
    </w:p>
    <w:p w14:paraId="4B5EEA71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63F0A914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［美］弗朗西斯·福山：《历史的终结及最后之人》，黄胜强等译，中国社会科学出版社2003年版，第7页。</w:t>
      </w:r>
    </w:p>
    <w:p w14:paraId="2ADD6B24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（3）析出文献</w:t>
      </w:r>
    </w:p>
    <w:p w14:paraId="0FBBBAA5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标注顺序：①责任者/析出文献题名/所载文集责任者与责任方式/所载文集/出版者、出版时间、版次（初版除外）/页码。</w:t>
      </w:r>
    </w:p>
    <w:p w14:paraId="3E44D224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4D6DC88F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刘民权等：《地区间发展不平衡与农村地区资金外流的关系分析》，载姚洋《转轨中国：审视社会公正平等》，中国人民大学出版社2004年版，第138—139页。</w:t>
      </w:r>
    </w:p>
    <w:p w14:paraId="2CA8FCEE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（4）期刊、报纸</w:t>
      </w:r>
    </w:p>
    <w:p w14:paraId="4A575359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期刊</w:t>
      </w:r>
    </w:p>
    <w:p w14:paraId="4B7B2456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标注顺序：责任者/所引文章名/所载期刊名、年期（或卷期、出版年月）。</w:t>
      </w:r>
    </w:p>
    <w:p w14:paraId="7C1DEC8E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68A60C82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袁连生：《我国义务教育财政不公平探讨》，《教育与经济》2001年第4期。</w:t>
      </w:r>
    </w:p>
    <w:p w14:paraId="0271A4E2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报纸</w:t>
      </w:r>
    </w:p>
    <w:p w14:paraId="0EDF4531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标注顺序：责任者/所引文章名/所载报纸名称/出版年、月、日及版别。</w:t>
      </w:r>
    </w:p>
    <w:p w14:paraId="7BCE2800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09D13CA3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杨侠：《品牌房企两级分化 中小企业“危”“机”并存》，《参考消息》2009年4月3日第8版。</w:t>
      </w:r>
    </w:p>
    <w:p w14:paraId="4D21B834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（5）转引文献</w:t>
      </w:r>
    </w:p>
    <w:p w14:paraId="78CA40B5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标注顺序：责任者/文献题名/转引文献责任者与责任方式/转引文献题名/出版者、出版时间、版次（初版除外）/页码。</w:t>
      </w:r>
    </w:p>
    <w:p w14:paraId="22B2D489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09193AB6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费孝通：《城乡和边区发展的思考》，转引自魏宏聚《偏失与匡正——义务教育经费投入政策失真现象研究》，中国社会科学出版社2008年版，第44页。</w:t>
      </w:r>
    </w:p>
    <w:p w14:paraId="45A2507B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参见江帆《生态民俗学》，黑龙江人民出版社2003年版，第60页。</w:t>
      </w:r>
    </w:p>
    <w:p w14:paraId="79F8680A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（6）未刊文献</w:t>
      </w:r>
    </w:p>
    <w:p w14:paraId="1D68847C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学位论文、会议论文等</w:t>
      </w:r>
    </w:p>
    <w:p w14:paraId="5CDBED02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标注顺序：责任者/文献题名/论文性质/地点或学校/文献形成时间/页码。</w:t>
      </w:r>
    </w:p>
    <w:p w14:paraId="618AC48F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6B702F00">
      <w:pPr>
        <w:pStyle w:val="2"/>
        <w:spacing w:line="240" w:lineRule="auto"/>
        <w:ind w:right="0" w:rightChars="0" w:firstLine="420" w:firstLineChars="200"/>
        <w:rPr>
          <w:rFonts w:hint="eastAsia"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赵可：《市政改革与城市发展》，博士学位论文，四川大学，2000年，第21页。</w:t>
      </w:r>
    </w:p>
    <w:p w14:paraId="165A4425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档案文献</w:t>
      </w:r>
    </w:p>
    <w:p w14:paraId="76E4DC99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标注顺序：文献题名/文献形成时间/藏所/卷宗号或编号。</w:t>
      </w:r>
    </w:p>
    <w:p w14:paraId="7FCFD8B9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1C2F7A9B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《汉口各街市行道树报告》，1929年，武汉市档案馆藏，资料号：Bb1122/3。</w:t>
      </w:r>
    </w:p>
    <w:p w14:paraId="30276218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（7）电子文献</w:t>
      </w:r>
    </w:p>
    <w:p w14:paraId="65CD37E6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电子文献包括网络资料，如网页、电子邮件、论坛、博客、微博（必须是加V实名认证）等。</w:t>
      </w:r>
      <w:r>
        <w:rPr>
          <w:rFonts w:hAnsi="宋体" w:cs="宋体"/>
          <w:color w:val="auto"/>
          <w:sz w:val="21"/>
          <w:szCs w:val="21"/>
        </w:rPr>
        <w:t>标注项目与顺序：责任者</w:t>
      </w:r>
      <w:r>
        <w:rPr>
          <w:rFonts w:hint="eastAsia" w:hAnsi="宋体" w:cs="宋体"/>
          <w:color w:val="auto"/>
          <w:sz w:val="21"/>
          <w:szCs w:val="21"/>
        </w:rPr>
        <w:t>与责任方式</w:t>
      </w:r>
      <w:r>
        <w:rPr>
          <w:rFonts w:hAnsi="宋体" w:cs="宋体"/>
          <w:color w:val="auto"/>
          <w:sz w:val="21"/>
          <w:szCs w:val="21"/>
        </w:rPr>
        <w:t>／电子文献题名／更新或修改日期／获取和访问路径／引用日期。</w:t>
      </w:r>
    </w:p>
    <w:p w14:paraId="750E377D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扬之水：《两宋茶诗与茶事》，《文学遗产通讯》（网络版试刊）2006年第1期， http://www.literature.org.cn /Article.asp?ID=199，2007年9月13日。</w:t>
      </w:r>
    </w:p>
    <w:p w14:paraId="1D4F509E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（8）古籍</w:t>
      </w:r>
    </w:p>
    <w:p w14:paraId="5178D51D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①刻本</w:t>
      </w:r>
    </w:p>
    <w:p w14:paraId="778D6434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标注顺序：责任者与责任方式／文献题名（卷次、篇名、部类）（选项）/版本、页码。</w:t>
      </w:r>
    </w:p>
    <w:p w14:paraId="7E36E166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部类名及篇名用书名号标示，其中不同层次可用中圆点隔开，原序号仍用汉字数字。页码应注明a、b面。</w:t>
      </w:r>
      <w:bookmarkStart w:id="0" w:name="_GoBack"/>
      <w:bookmarkEnd w:id="0"/>
    </w:p>
    <w:p w14:paraId="5C359964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0C321C42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《太平寰宇记》卷36《关西道·夏州》，清金陵书局线装本。</w:t>
      </w:r>
    </w:p>
    <w:p w14:paraId="5F13FA46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姚际恒：《古今伪书考》卷3，光绪三年苏州文学山房活字本，第9页a。</w:t>
      </w:r>
    </w:p>
    <w:p w14:paraId="7CF57495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②点校本、整理本</w:t>
      </w:r>
    </w:p>
    <w:p w14:paraId="5C9CB1F7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标注顺序：责任者与责任方式／文献题名／卷次、篇名、部类（选项）／出版者、出版时间／页码。可在出版时间后注明“点校本”“整理本”。</w:t>
      </w:r>
    </w:p>
    <w:p w14:paraId="6C3BB924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539907AD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（汉）班固：《汉书》，中华书局1983年标点本，第xx页。</w:t>
      </w:r>
    </w:p>
    <w:p w14:paraId="4298D13D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③影印本</w:t>
      </w:r>
    </w:p>
    <w:p w14:paraId="03437252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与责任方式／文献题名／卷次、篇名、部类（选项）／出版者、出版时间（影印）/页码。可在出版时间后注明“影印本”。为便于读者查找，缩印的古籍，引用页码还可标明上、中、下栏（选项）。</w:t>
      </w:r>
    </w:p>
    <w:p w14:paraId="2E5B2094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0370F8DA">
      <w:pPr>
        <w:pStyle w:val="2"/>
        <w:spacing w:line="240" w:lineRule="auto"/>
        <w:ind w:right="36" w:rightChars="17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杨钟羲：《雪桥诗话续集》卷5，辽沈书社1991年影印本，上册，第461页下栏。</w:t>
      </w:r>
    </w:p>
    <w:p w14:paraId="0EDE3A38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《太平御览》卷690《服章部七》引《魏台访议》，中华书局1985年影印本，第3册，第3080页下栏。</w:t>
      </w:r>
    </w:p>
    <w:p w14:paraId="3441C6E8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④析出文献</w:t>
      </w:r>
    </w:p>
    <w:p w14:paraId="17ECF936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标注顺序：责任者／析出文献题名／文集责任者与责任方式／文集题名／卷次／丛书项（选项，丛书名用书名号）／版本或出版信息／页码。</w:t>
      </w:r>
    </w:p>
    <w:p w14:paraId="6C610E3A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54179B48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管志道：《答屠仪部赤水丈书》，《续问辨牍》卷2，《四库全书存目丛书》，齐鲁书社1997年影印本，子部，第88册，第73页。</w:t>
      </w:r>
    </w:p>
    <w:p w14:paraId="02888CB8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⑤地方志</w:t>
      </w:r>
    </w:p>
    <w:p w14:paraId="1244FB1B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唐宋时期的地方志多系私人著作，可标注作者；明清以后的地方志一般不标注作者，书名前冠以修纂成书时的年代（年号）；民国地方志，在书名前冠加“民国”二字。新影印（缩印）的地方志可采用新页码。</w:t>
      </w:r>
    </w:p>
    <w:p w14:paraId="70B1DC9B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3A0FF365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乾隆《嘉定县志》卷12《风俗》，第7页b。</w:t>
      </w:r>
    </w:p>
    <w:p w14:paraId="51A8AEEC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万历《广东通志》卷15《郡县志二·广州府·城池》</w:t>
      </w:r>
      <w:r>
        <w:rPr>
          <w:rFonts w:hint="eastAsia" w:ascii="仿宋_GB2312" w:hAnsi="宋体" w:eastAsia="仿宋_GB2312" w:cs="宋体"/>
          <w:color w:val="auto"/>
          <w:sz w:val="21"/>
          <w:szCs w:val="21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sz w:val="21"/>
          <w:szCs w:val="21"/>
        </w:rPr>
        <w:t>《稀见中国地方志汇刊》，中国书店1992年影印本，第42册</w:t>
      </w:r>
      <w:r>
        <w:rPr>
          <w:rFonts w:hint="eastAsia" w:ascii="仿宋_GB2312" w:hAnsi="宋体" w:eastAsia="仿宋_GB2312" w:cs="宋体"/>
          <w:color w:val="auto"/>
          <w:sz w:val="21"/>
          <w:szCs w:val="21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sz w:val="21"/>
          <w:szCs w:val="21"/>
        </w:rPr>
        <w:t>第367页。</w:t>
      </w:r>
    </w:p>
    <w:p w14:paraId="51D474F2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⑥常用基本典籍，官修大型典籍以及书名中含有作者姓名的文集可不标注作者，如《论语》、二十四史、《资治通鉴》、《全唐文》、《册府元龟》、《清实录》、《四库全书总目提要》、《陶渊明集》等。</w:t>
      </w:r>
    </w:p>
    <w:p w14:paraId="3EB643C3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266D1A31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《旧唐书》卷9《玄宗纪下》，中华书局1975年标点本，第233页。</w:t>
      </w:r>
    </w:p>
    <w:p w14:paraId="10D1D880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⑦编年体典籍，如需要，可注出文字所属之年月甲子（日）。</w:t>
      </w:r>
    </w:p>
    <w:p w14:paraId="0F99DFDF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示例:</w:t>
      </w:r>
    </w:p>
    <w:p w14:paraId="259F535B">
      <w:pPr>
        <w:pStyle w:val="2"/>
        <w:spacing w:line="240" w:lineRule="auto"/>
        <w:ind w:right="36" w:rightChars="17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《清德宗实录》卷435，光绪二十四年十二月上，中华书局1987年影印本，第6册，第727页。</w:t>
      </w:r>
    </w:p>
    <w:p w14:paraId="09876428">
      <w:pPr>
        <w:pStyle w:val="2"/>
        <w:numPr>
          <w:ilvl w:val="0"/>
          <w:numId w:val="2"/>
        </w:numPr>
        <w:spacing w:line="240" w:lineRule="auto"/>
        <w:ind w:firstLine="422" w:firstLineChars="200"/>
        <w:outlineLvl w:val="2"/>
        <w:rPr>
          <w:rFonts w:hint="eastAsia" w:ascii="楷体_GB2312" w:hAnsi="宋体" w:eastAsia="楷体_GB2312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auto"/>
          <w:sz w:val="21"/>
          <w:szCs w:val="21"/>
          <w:lang w:val="en-US" w:eastAsia="zh-CN"/>
        </w:rPr>
        <w:t>外文参考文献的注释体例</w:t>
      </w:r>
    </w:p>
    <w:p w14:paraId="0F0ECC8B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专著</w:t>
      </w:r>
    </w:p>
    <w:p w14:paraId="3568B3C5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标注顺序：责任者与责任方式/书名/出版地/出版者/出版时间/页码。书名用斜体，其他内容用正体；出版地后用英文冒号，其余各标注项目之间用英文逗号隔开（下同）。每条顶格起，未完回行缩格。</w:t>
      </w:r>
    </w:p>
    <w:p w14:paraId="4254EA2C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1D0AC998">
      <w:pPr>
        <w:pStyle w:val="2"/>
        <w:spacing w:line="240" w:lineRule="auto"/>
        <w:ind w:right="420" w:rightChars="200" w:firstLine="420" w:firstLineChars="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Seymou Matin Lipset and Cay Maks, </w:t>
      </w:r>
      <w:r>
        <w:rPr>
          <w:rFonts w:ascii="Times New Roman" w:hAnsi="Times New Roman" w:cs="Times New Roman"/>
          <w:i/>
          <w:color w:val="auto"/>
          <w:sz w:val="21"/>
          <w:szCs w:val="21"/>
        </w:rPr>
        <w:t>It Didn’t Happen Hee:</w:t>
      </w:r>
      <w:r>
        <w:rPr>
          <w:rFonts w:hint="eastAsia" w:ascii="Times New Roman" w:hAnsi="Times New Roman" w:cs="Times New Roman"/>
          <w:i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color w:val="auto"/>
          <w:sz w:val="21"/>
          <w:szCs w:val="21"/>
        </w:rPr>
        <w:t>Why Socialism Failed in the United States</w:t>
      </w:r>
      <w:r>
        <w:rPr>
          <w:rFonts w:ascii="Times New Roman" w:hAnsi="Times New Roman" w:cs="Times New Roman"/>
          <w:color w:val="auto"/>
          <w:sz w:val="21"/>
          <w:szCs w:val="21"/>
        </w:rPr>
        <w:t>, New York: W.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>W.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>Norton &amp; Company,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>2000,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>p.266.</w:t>
      </w:r>
    </w:p>
    <w:p w14:paraId="14F277F4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期刊文献</w:t>
      </w:r>
    </w:p>
    <w:p w14:paraId="6DC60C8E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标注顺序：责任者与责任方式/析出文献题名/所载书名或期刊名及卷册/出版时间/页码。析出文献题名用英文引号标示，不用斜体，期刊名或书名用斜体，其他内容用正体。</w:t>
      </w:r>
    </w:p>
    <w:p w14:paraId="5909F625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6FF17385">
      <w:pPr>
        <w:pStyle w:val="2"/>
        <w:spacing w:line="240" w:lineRule="auto"/>
        <w:ind w:right="420" w:rightChars="200" w:firstLine="420" w:firstLineChars="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Christophe Roux-Dufort,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“Is Crisis Management (Only) a Management of Exceptions?” </w:t>
      </w:r>
      <w:r>
        <w:rPr>
          <w:rFonts w:ascii="Times New Roman" w:hAnsi="Times New Roman" w:cs="Times New Roman"/>
          <w:i/>
          <w:color w:val="auto"/>
          <w:sz w:val="21"/>
          <w:szCs w:val="21"/>
        </w:rPr>
        <w:t>Journal of Contingencies and Crisis Management</w:t>
      </w:r>
      <w:r>
        <w:rPr>
          <w:rFonts w:hint="eastAsia" w:ascii="Times New Roman" w:hAnsi="宋体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ascii="Times New Roman" w:hAnsi="Times New Roman" w:cs="Times New Roman"/>
          <w:color w:val="auto"/>
          <w:sz w:val="21"/>
          <w:szCs w:val="21"/>
        </w:rPr>
        <w:t>Vol.15,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>No.2,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>June 2000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,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p.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32.</w:t>
      </w:r>
    </w:p>
    <w:p w14:paraId="71B15139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编著</w:t>
      </w:r>
    </w:p>
    <w:p w14:paraId="63F2EFFA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标注顺序：责任者与责任方式/书名/出版地/出版者/出版时间/页码。书名用斜体，其他内容用正体；责任者后加</w:t>
      </w:r>
      <w:r>
        <w:rPr>
          <w:rFonts w:ascii="Times New Roman" w:hAnsi="Times New Roman" w:cs="Times New Roman"/>
          <w:color w:val="auto"/>
          <w:sz w:val="21"/>
          <w:szCs w:val="21"/>
        </w:rPr>
        <w:t>ed.</w:t>
      </w:r>
      <w:r>
        <w:rPr>
          <w:rFonts w:hint="eastAsia" w:hAnsi="宋体" w:cs="宋体"/>
          <w:color w:val="auto"/>
          <w:sz w:val="21"/>
          <w:szCs w:val="21"/>
        </w:rPr>
        <w:t>或</w:t>
      </w:r>
      <w:r>
        <w:rPr>
          <w:rFonts w:ascii="Times New Roman" w:hAnsi="Times New Roman" w:cs="Times New Roman"/>
          <w:color w:val="auto"/>
          <w:sz w:val="21"/>
          <w:szCs w:val="21"/>
        </w:rPr>
        <w:t>eds.</w:t>
      </w:r>
      <w:r>
        <w:rPr>
          <w:rFonts w:hint="eastAsia" w:hAnsi="宋体" w:cs="宋体"/>
          <w:color w:val="auto"/>
          <w:sz w:val="21"/>
          <w:szCs w:val="21"/>
        </w:rPr>
        <w:t>，出版地后用英文冒号，其余各标注项目之间用英文逗号隔开。</w:t>
      </w:r>
    </w:p>
    <w:p w14:paraId="7D6FA628">
      <w:pPr>
        <w:pStyle w:val="2"/>
        <w:spacing w:line="240" w:lineRule="auto"/>
        <w:ind w:right="420" w:rightChars="200"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68C0100A">
      <w:pPr>
        <w:pStyle w:val="2"/>
        <w:spacing w:line="240" w:lineRule="auto"/>
        <w:ind w:right="420" w:rightChars="200" w:firstLine="420" w:firstLineChars="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David Baldwin ed., </w:t>
      </w:r>
      <w:r>
        <w:rPr>
          <w:rFonts w:ascii="Times New Roman" w:hAnsi="Times New Roman" w:cs="Times New Roman"/>
          <w:i/>
          <w:color w:val="auto"/>
          <w:sz w:val="21"/>
          <w:szCs w:val="21"/>
        </w:rPr>
        <w:t>Neorealism and Neoliberalism: The Contemporary Debate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ascii="Times New Roman" w:hAnsi="Times New Roman" w:cs="Times New Roman"/>
          <w:color w:val="auto"/>
          <w:sz w:val="21"/>
          <w:szCs w:val="21"/>
        </w:rPr>
        <w:t>New York: Columbia University Press, 1993, p. 106.</w:t>
      </w:r>
    </w:p>
    <w:p w14:paraId="3261062D">
      <w:pPr>
        <w:pStyle w:val="2"/>
        <w:spacing w:line="240" w:lineRule="auto"/>
        <w:ind w:right="420" w:rightChars="200" w:firstLine="420" w:firstLineChars="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Klause Knorr and James N. Rosenau, eds., </w:t>
      </w:r>
      <w:r>
        <w:rPr>
          <w:rFonts w:ascii="Times New Roman" w:hAnsi="Times New Roman" w:cs="Times New Roman"/>
          <w:i/>
          <w:color w:val="auto"/>
          <w:sz w:val="21"/>
          <w:szCs w:val="21"/>
        </w:rPr>
        <w:t>Contending Approaches to International</w:t>
      </w:r>
      <w:r>
        <w:rPr>
          <w:rFonts w:hint="eastAsia" w:ascii="Times New Roman" w:hAnsi="Times New Roman" w:cs="Times New Roman"/>
          <w:i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color w:val="auto"/>
          <w:sz w:val="21"/>
          <w:szCs w:val="21"/>
        </w:rPr>
        <w:t>Politics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ascii="Times New Roman" w:hAnsi="Times New Roman" w:cs="Times New Roman"/>
          <w:color w:val="auto"/>
          <w:sz w:val="21"/>
          <w:szCs w:val="21"/>
        </w:rPr>
        <w:t>Princeton, NJ: Princeton University Press, 1969, pp. 225-227.</w:t>
      </w:r>
    </w:p>
    <w:p w14:paraId="6D8960EC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Ansi="宋体" w:cs="宋体"/>
          <w:color w:val="auto"/>
          <w:sz w:val="21"/>
          <w:szCs w:val="21"/>
        </w:rPr>
        <w:t>译著</w:t>
      </w:r>
    </w:p>
    <w:p w14:paraId="7B82B8B4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标注顺序：责任者与责任方式/书名/译者/出版地/出版者/出版时间/页码。书名用斜体，其他内容用正体；出版地后用英文冒号，其余各标注项目之间用英文逗号隔开。</w:t>
      </w:r>
    </w:p>
    <w:p w14:paraId="24CF5DCF">
      <w:pPr>
        <w:pStyle w:val="2"/>
        <w:spacing w:line="240" w:lineRule="auto"/>
        <w:ind w:firstLine="420" w:firstLineChars="2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示例：</w:t>
      </w:r>
    </w:p>
    <w:p w14:paraId="408F4129">
      <w:pPr>
        <w:pStyle w:val="2"/>
        <w:spacing w:line="240" w:lineRule="auto"/>
        <w:ind w:right="420" w:rightChars="200" w:firstLine="420" w:firstLineChars="200"/>
        <w:rPr>
          <w:rFonts w:ascii="Times New Roman" w:hAnsi="Times New Roman" w:eastAsia="宋体" w:cs="Times New Roman"/>
          <w:color w:val="auto"/>
          <w:sz w:val="21"/>
          <w:szCs w:val="21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</w:rPr>
        <w:t>Homer, The Odyssey, trans. Robert Fagles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ascii="Times New Roman" w:hAnsi="Times New Roman" w:eastAsia="宋体" w:cs="Times New Roman"/>
          <w:color w:val="auto"/>
          <w:sz w:val="21"/>
          <w:szCs w:val="21"/>
        </w:rPr>
        <w:t>New York: Viking, 1996, p. 22.</w:t>
      </w:r>
    </w:p>
    <w:p w14:paraId="3B6F2DC3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Ansi="宋体" w:cs="宋体"/>
          <w:color w:val="auto"/>
          <w:sz w:val="21"/>
          <w:szCs w:val="21"/>
        </w:rPr>
        <w:t>文集中的文章</w:t>
      </w:r>
    </w:p>
    <w:p w14:paraId="3E0C1E80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标注顺序：责任者与责任方式/文集中文章题名/所载文集名称/出版者/出版时间/页码。</w:t>
      </w:r>
      <w:r>
        <w:rPr>
          <w:rFonts w:hAnsi="宋体" w:cs="宋体"/>
          <w:color w:val="auto"/>
          <w:sz w:val="21"/>
          <w:szCs w:val="21"/>
        </w:rPr>
        <w:t>文章名用双引号引上</w:t>
      </w:r>
      <w:r>
        <w:rPr>
          <w:rFonts w:hint="eastAsia" w:hAnsi="宋体" w:cs="宋体"/>
          <w:color w:val="auto"/>
          <w:sz w:val="21"/>
          <w:szCs w:val="21"/>
          <w:lang w:eastAsia="zh-CN"/>
        </w:rPr>
        <w:t>，</w:t>
      </w:r>
      <w:r>
        <w:rPr>
          <w:rFonts w:hAnsi="宋体" w:cs="宋体"/>
          <w:color w:val="auto"/>
          <w:sz w:val="21"/>
          <w:szCs w:val="21"/>
        </w:rPr>
        <w:t>不用斜体</w:t>
      </w:r>
      <w:r>
        <w:rPr>
          <w:rFonts w:hint="eastAsia" w:hAnsi="宋体" w:cs="宋体"/>
          <w:color w:val="auto"/>
          <w:sz w:val="21"/>
          <w:szCs w:val="21"/>
        </w:rPr>
        <w:t>；文集名斜体，其他内容用正体。</w:t>
      </w:r>
    </w:p>
    <w:p w14:paraId="6B83D62A">
      <w:pPr>
        <w:pStyle w:val="2"/>
        <w:spacing w:line="240" w:lineRule="auto"/>
        <w:ind w:right="420" w:rightChars="200" w:firstLine="420" w:firstLineChars="2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示例：</w:t>
      </w:r>
    </w:p>
    <w:p w14:paraId="1A462BD5">
      <w:pPr>
        <w:pStyle w:val="2"/>
        <w:spacing w:line="240" w:lineRule="auto"/>
        <w:ind w:right="420" w:rightChars="200" w:firstLine="420" w:firstLineChars="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Robert Levaold, “Soviet Learning in the 1980s”, in George W. Breslauer and Philip E. Tetlock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>eds.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i/>
          <w:color w:val="auto"/>
          <w:sz w:val="21"/>
          <w:szCs w:val="21"/>
        </w:rPr>
        <w:t>Learning in US and Soviet Foreign Policy</w:t>
      </w:r>
      <w:r>
        <w:rPr>
          <w:rFonts w:ascii="Times New Roman" w:hAnsi="Times New Roman" w:cs="Times New Roman"/>
          <w:color w:val="auto"/>
          <w:sz w:val="21"/>
          <w:szCs w:val="21"/>
        </w:rPr>
        <w:t>，Boulder, CO: Westview Press, 1991, p.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27. </w:t>
      </w:r>
    </w:p>
    <w:p w14:paraId="23B275E8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Ansi="宋体" w:cs="宋体"/>
          <w:color w:val="auto"/>
          <w:sz w:val="21"/>
          <w:szCs w:val="21"/>
        </w:rPr>
        <w:t>报纸</w:t>
      </w:r>
    </w:p>
    <w:p w14:paraId="3593F47D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标注顺序：责任者与责任方式/报纸中的文章名/</w:t>
      </w:r>
      <w:r>
        <w:rPr>
          <w:rFonts w:hAnsi="宋体" w:cs="宋体"/>
          <w:color w:val="auto"/>
          <w:sz w:val="21"/>
          <w:szCs w:val="21"/>
        </w:rPr>
        <w:t>报纸名</w:t>
      </w:r>
      <w:r>
        <w:rPr>
          <w:rFonts w:hint="eastAsia" w:hAnsi="宋体" w:cs="宋体"/>
          <w:color w:val="auto"/>
          <w:sz w:val="21"/>
          <w:szCs w:val="21"/>
        </w:rPr>
        <w:t>/出版时间/版次；文章名用</w:t>
      </w:r>
      <w:r>
        <w:rPr>
          <w:rFonts w:hAnsi="宋体" w:cs="宋体"/>
          <w:color w:val="auto"/>
          <w:sz w:val="21"/>
          <w:szCs w:val="21"/>
        </w:rPr>
        <w:t>双引号引上</w:t>
      </w:r>
      <w:r>
        <w:rPr>
          <w:rFonts w:hint="eastAsia" w:hAnsi="宋体" w:cs="宋体"/>
          <w:color w:val="auto"/>
          <w:sz w:val="21"/>
          <w:szCs w:val="21"/>
        </w:rPr>
        <w:t>，报纸名用斜体。</w:t>
      </w:r>
    </w:p>
    <w:p w14:paraId="5968858F">
      <w:pPr>
        <w:pStyle w:val="2"/>
        <w:spacing w:line="240" w:lineRule="auto"/>
        <w:ind w:firstLine="420" w:firstLineChars="2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示例：</w:t>
      </w:r>
    </w:p>
    <w:p w14:paraId="42687F5B">
      <w:pPr>
        <w:pStyle w:val="2"/>
        <w:spacing w:line="240" w:lineRule="auto"/>
        <w:ind w:right="420" w:rightChars="200" w:firstLine="420" w:firstLineChars="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Clayton Jones, “Japanese Link Increased Acid Rain to Distant Coal Plants in China”, </w:t>
      </w:r>
      <w:r>
        <w:rPr>
          <w:rFonts w:ascii="Times New Roman" w:hAnsi="Times New Roman" w:cs="Times New Roman"/>
          <w:i/>
          <w:color w:val="auto"/>
          <w:sz w:val="21"/>
          <w:szCs w:val="21"/>
        </w:rPr>
        <w:t>The</w:t>
      </w:r>
      <w:r>
        <w:rPr>
          <w:rFonts w:hint="eastAsia" w:ascii="Times New Roman" w:hAnsi="Times New Roman" w:cs="Times New Roman"/>
          <w:i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color w:val="auto"/>
          <w:sz w:val="21"/>
          <w:szCs w:val="21"/>
        </w:rPr>
        <w:t>Christian Science Monitor</w:t>
      </w:r>
      <w:r>
        <w:rPr>
          <w:rFonts w:ascii="Times New Roman" w:hAnsi="Times New Roman" w:cs="Times New Roman"/>
          <w:color w:val="auto"/>
          <w:sz w:val="21"/>
          <w:szCs w:val="21"/>
        </w:rPr>
        <w:t>, November 6, 1992, p. 4.</w:t>
      </w:r>
    </w:p>
    <w:p w14:paraId="6B95D1BD">
      <w:pPr>
        <w:pStyle w:val="2"/>
        <w:spacing w:line="240" w:lineRule="auto"/>
        <w:ind w:right="420" w:rightChars="200" w:firstLine="420" w:firstLineChars="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Rick Atkinson and Gary Lee, “Soviet Army Coming apart at the Seams”, </w:t>
      </w:r>
      <w:r>
        <w:rPr>
          <w:rFonts w:ascii="Times New Roman" w:hAnsi="Times New Roman" w:cs="Times New Roman"/>
          <w:i/>
          <w:color w:val="auto"/>
          <w:sz w:val="21"/>
          <w:szCs w:val="21"/>
        </w:rPr>
        <w:t>Washington Post</w:t>
      </w:r>
      <w:r>
        <w:rPr>
          <w:rFonts w:ascii="Times New Roman" w:hAnsi="Times New Roman" w:cs="Times New Roman"/>
          <w:color w:val="auto"/>
          <w:sz w:val="21"/>
          <w:szCs w:val="21"/>
        </w:rPr>
        <w:t>, November 18, 1990, pp. A1, A28-29.</w:t>
      </w:r>
    </w:p>
    <w:p w14:paraId="0A400328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Ansi="宋体" w:cs="宋体"/>
          <w:color w:val="auto"/>
          <w:sz w:val="21"/>
          <w:szCs w:val="21"/>
        </w:rPr>
        <w:t>通讯社消息</w:t>
      </w:r>
    </w:p>
    <w:p w14:paraId="0064CBE0">
      <w:pPr>
        <w:pStyle w:val="2"/>
        <w:spacing w:line="240" w:lineRule="auto"/>
        <w:ind w:left="420" w:leftChars="200" w:firstLine="0" w:firstLineChars="0"/>
        <w:rPr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标注顺序：消息名/通讯社名/出版时间；消息名用</w:t>
      </w:r>
      <w:r>
        <w:rPr>
          <w:rFonts w:hAnsi="宋体" w:cs="宋体"/>
          <w:color w:val="auto"/>
          <w:sz w:val="21"/>
          <w:szCs w:val="21"/>
        </w:rPr>
        <w:t>双引号引上</w:t>
      </w:r>
      <w:r>
        <w:rPr>
          <w:rFonts w:hint="eastAsia" w:hAnsi="宋体" w:cs="宋体"/>
          <w:color w:val="auto"/>
          <w:sz w:val="21"/>
          <w:szCs w:val="21"/>
        </w:rPr>
        <w:t>。</w:t>
      </w:r>
      <w:r>
        <w:rPr>
          <w:rFonts w:hAnsi="宋体" w:cs="宋体"/>
          <w:color w:val="auto"/>
          <w:sz w:val="21"/>
          <w:szCs w:val="21"/>
        </w:rPr>
        <w:br w:type="textWrapping"/>
      </w:r>
      <w:r>
        <w:rPr>
          <w:rFonts w:hint="eastAsia"/>
          <w:color w:val="auto"/>
          <w:sz w:val="21"/>
          <w:szCs w:val="21"/>
        </w:rPr>
        <w:t>示例：</w:t>
      </w:r>
    </w:p>
    <w:p w14:paraId="173DE2DD">
      <w:pPr>
        <w:pStyle w:val="2"/>
        <w:spacing w:line="240" w:lineRule="auto"/>
        <w:ind w:right="420" w:rightChars="200" w:firstLine="420" w:firstLineChars="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“Beijing Media Urge to Keep Taiwan by Force”, Xinhua, July 19, 1995.</w:t>
      </w:r>
    </w:p>
    <w:p w14:paraId="0E46E4AF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Ansi="宋体" w:cs="宋体"/>
          <w:color w:val="auto"/>
          <w:sz w:val="21"/>
          <w:szCs w:val="21"/>
        </w:rPr>
        <w:t>政府出版物</w:t>
      </w:r>
      <w:r>
        <w:rPr>
          <w:rFonts w:hint="eastAsia" w:hAnsi="宋体" w:cs="宋体"/>
          <w:color w:val="auto"/>
          <w:sz w:val="21"/>
          <w:szCs w:val="21"/>
        </w:rPr>
        <w:t xml:space="preserve">                      </w:t>
      </w:r>
    </w:p>
    <w:p w14:paraId="250FBD88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标注顺序：责任者与责任方式/</w:t>
      </w:r>
      <w:r>
        <w:rPr>
          <w:rFonts w:hAnsi="宋体" w:cs="宋体"/>
          <w:color w:val="auto"/>
          <w:sz w:val="21"/>
          <w:szCs w:val="21"/>
        </w:rPr>
        <w:t>报告题目</w:t>
      </w:r>
      <w:r>
        <w:rPr>
          <w:rFonts w:hint="eastAsia" w:hAnsi="宋体" w:cs="宋体"/>
          <w:color w:val="auto"/>
          <w:sz w:val="21"/>
          <w:szCs w:val="21"/>
        </w:rPr>
        <w:t>/</w:t>
      </w:r>
      <w:r>
        <w:rPr>
          <w:rFonts w:hAnsi="宋体" w:cs="宋体"/>
          <w:color w:val="auto"/>
          <w:sz w:val="21"/>
          <w:szCs w:val="21"/>
        </w:rPr>
        <w:t>发布日期</w:t>
      </w:r>
      <w:r>
        <w:rPr>
          <w:rFonts w:hint="eastAsia" w:hAnsi="宋体" w:cs="宋体"/>
          <w:color w:val="auto"/>
          <w:sz w:val="21"/>
          <w:szCs w:val="21"/>
        </w:rPr>
        <w:t>/出版者</w:t>
      </w:r>
      <w:r>
        <w:rPr>
          <w:rFonts w:hAnsi="宋体" w:cs="宋体"/>
          <w:color w:val="auto"/>
          <w:sz w:val="21"/>
          <w:szCs w:val="21"/>
        </w:rPr>
        <w:t>(包括发布机构)</w:t>
      </w:r>
      <w:r>
        <w:rPr>
          <w:rFonts w:hint="eastAsia" w:hAnsi="宋体" w:cs="宋体"/>
          <w:color w:val="auto"/>
          <w:sz w:val="21"/>
          <w:szCs w:val="21"/>
        </w:rPr>
        <w:t>/</w:t>
      </w:r>
      <w:r>
        <w:rPr>
          <w:rFonts w:hAnsi="宋体" w:cs="宋体"/>
          <w:color w:val="auto"/>
          <w:sz w:val="21"/>
          <w:szCs w:val="21"/>
        </w:rPr>
        <w:t>文件编号</w:t>
      </w:r>
      <w:r>
        <w:rPr>
          <w:rFonts w:hint="eastAsia" w:hAnsi="宋体" w:cs="宋体"/>
          <w:color w:val="auto"/>
          <w:sz w:val="21"/>
          <w:szCs w:val="21"/>
        </w:rPr>
        <w:t>或页码。</w:t>
      </w:r>
    </w:p>
    <w:p w14:paraId="6FF0978C">
      <w:pPr>
        <w:pStyle w:val="2"/>
        <w:spacing w:line="240" w:lineRule="auto"/>
        <w:ind w:firstLine="420" w:firstLineChars="2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示例：</w:t>
      </w:r>
    </w:p>
    <w:p w14:paraId="48C97F35">
      <w:pPr>
        <w:pStyle w:val="2"/>
        <w:spacing w:line="240" w:lineRule="auto"/>
        <w:ind w:right="420" w:rightChars="200" w:firstLine="420" w:firstLineChars="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Central Intelligence Agency, </w:t>
      </w:r>
      <w:r>
        <w:rPr>
          <w:rFonts w:ascii="Times New Roman" w:hAnsi="Times New Roman" w:cs="Times New Roman"/>
          <w:i/>
          <w:color w:val="auto"/>
          <w:sz w:val="21"/>
          <w:szCs w:val="21"/>
        </w:rPr>
        <w:t>Directorate of Intelligence, Handbook of Economic Statistics, 1988</w:t>
      </w:r>
      <w:r>
        <w:rPr>
          <w:rFonts w:ascii="Times New Roman" w:hAnsi="Times New Roman" w:cs="Times New Roman"/>
          <w:color w:val="auto"/>
          <w:sz w:val="21"/>
          <w:szCs w:val="21"/>
        </w:rPr>
        <w:t>，Washington, D. C.: US Government Printing Office, 1988, p. 74.</w:t>
      </w:r>
    </w:p>
    <w:p w14:paraId="20715577">
      <w:pPr>
        <w:pStyle w:val="2"/>
        <w:spacing w:line="240" w:lineRule="auto"/>
        <w:ind w:left="315" w:leftChars="15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国际组织出版物</w:t>
      </w:r>
    </w:p>
    <w:p w14:paraId="2ACE14F9">
      <w:pPr>
        <w:pStyle w:val="2"/>
        <w:spacing w:line="240" w:lineRule="auto"/>
        <w:ind w:left="315" w:leftChars="15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报告</w:t>
      </w:r>
    </w:p>
    <w:p w14:paraId="5BB2942D">
      <w:pPr>
        <w:pStyle w:val="2"/>
        <w:spacing w:line="240" w:lineRule="auto"/>
        <w:ind w:left="315" w:leftChars="150"/>
        <w:rPr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标注顺序：责任者与责任方式/</w:t>
      </w:r>
      <w:r>
        <w:rPr>
          <w:color w:val="auto"/>
          <w:sz w:val="21"/>
          <w:szCs w:val="21"/>
        </w:rPr>
        <w:t>报告题目</w:t>
      </w:r>
      <w:r>
        <w:rPr>
          <w:rFonts w:hint="eastAsia"/>
          <w:color w:val="auto"/>
          <w:sz w:val="21"/>
          <w:szCs w:val="21"/>
        </w:rPr>
        <w:t>/</w:t>
      </w:r>
      <w:r>
        <w:rPr>
          <w:color w:val="auto"/>
          <w:sz w:val="21"/>
          <w:szCs w:val="21"/>
        </w:rPr>
        <w:t>文件编号(包括发布机构)</w:t>
      </w:r>
      <w:r>
        <w:rPr>
          <w:rFonts w:hint="eastAsia"/>
          <w:color w:val="auto"/>
          <w:sz w:val="21"/>
          <w:szCs w:val="21"/>
        </w:rPr>
        <w:t>/</w:t>
      </w:r>
      <w:r>
        <w:rPr>
          <w:color w:val="auto"/>
          <w:sz w:val="21"/>
          <w:szCs w:val="21"/>
        </w:rPr>
        <w:t>发布日期</w:t>
      </w:r>
      <w:r>
        <w:rPr>
          <w:rFonts w:hint="eastAsia"/>
          <w:color w:val="auto"/>
          <w:sz w:val="21"/>
          <w:szCs w:val="21"/>
          <w:lang w:eastAsia="zh-CN"/>
        </w:rPr>
        <w:t>，</w:t>
      </w:r>
      <w:r>
        <w:rPr>
          <w:color w:val="auto"/>
          <w:sz w:val="21"/>
          <w:szCs w:val="21"/>
        </w:rPr>
        <w:t>题目用斜体</w:t>
      </w:r>
      <w:r>
        <w:rPr>
          <w:rFonts w:hint="eastAsia"/>
          <w:color w:val="auto"/>
          <w:sz w:val="21"/>
          <w:szCs w:val="21"/>
        </w:rPr>
        <w:t xml:space="preserve">。 </w:t>
      </w:r>
    </w:p>
    <w:p w14:paraId="2F66A138">
      <w:pPr>
        <w:pStyle w:val="2"/>
        <w:spacing w:line="240" w:lineRule="auto"/>
        <w:ind w:left="105" w:leftChars="50" w:firstLine="210" w:firstLineChars="1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示例：</w:t>
      </w:r>
    </w:p>
    <w:p w14:paraId="5EAAEF1B">
      <w:pPr>
        <w:pStyle w:val="2"/>
        <w:spacing w:line="240" w:lineRule="auto"/>
        <w:ind w:right="420" w:rightChars="200" w:firstLine="420" w:firstLineChars="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United Nation Register of Conventional Arms, </w:t>
      </w:r>
      <w:r>
        <w:rPr>
          <w:rFonts w:ascii="Times New Roman" w:hAnsi="Times New Roman" w:cs="Times New Roman"/>
          <w:i/>
          <w:color w:val="auto"/>
          <w:sz w:val="21"/>
          <w:szCs w:val="21"/>
        </w:rPr>
        <w:t>Report of the Secretary General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, UN General Assembly Document A/48/344, October 11, 1993. </w:t>
      </w:r>
    </w:p>
    <w:p w14:paraId="61443CDC">
      <w:pPr>
        <w:pStyle w:val="2"/>
        <w:spacing w:line="240" w:lineRule="auto"/>
        <w:ind w:left="315" w:leftChars="15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决议</w:t>
      </w:r>
    </w:p>
    <w:p w14:paraId="05899F8A">
      <w:pPr>
        <w:pStyle w:val="2"/>
        <w:spacing w:line="240" w:lineRule="auto"/>
        <w:ind w:left="315" w:leftChars="15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标注顺序：</w:t>
      </w:r>
      <w:r>
        <w:rPr>
          <w:color w:val="auto"/>
          <w:sz w:val="21"/>
          <w:szCs w:val="21"/>
        </w:rPr>
        <w:t>发布机构和决议号</w:t>
      </w:r>
      <w:r>
        <w:rPr>
          <w:rFonts w:hint="eastAsia"/>
          <w:color w:val="auto"/>
          <w:sz w:val="21"/>
          <w:szCs w:val="21"/>
          <w:lang w:eastAsia="zh-CN"/>
        </w:rPr>
        <w:t>，</w:t>
      </w:r>
      <w:r>
        <w:rPr>
          <w:color w:val="auto"/>
          <w:sz w:val="21"/>
          <w:szCs w:val="21"/>
        </w:rPr>
        <w:t>生效日期</w:t>
      </w:r>
      <w:r>
        <w:rPr>
          <w:rFonts w:hint="eastAsia"/>
          <w:color w:val="auto"/>
          <w:sz w:val="21"/>
          <w:szCs w:val="21"/>
        </w:rPr>
        <w:t>。</w:t>
      </w:r>
    </w:p>
    <w:p w14:paraId="17051A43">
      <w:pPr>
        <w:pStyle w:val="2"/>
        <w:spacing w:line="240" w:lineRule="auto"/>
        <w:ind w:left="105" w:leftChars="50" w:firstLine="210" w:firstLineChars="1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示例：</w:t>
      </w:r>
    </w:p>
    <w:p w14:paraId="4DCACB5F">
      <w:pPr>
        <w:pStyle w:val="2"/>
        <w:spacing w:line="240" w:lineRule="auto"/>
        <w:ind w:right="420" w:rightChars="200" w:firstLine="420" w:firstLineChars="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UN Security Council Resolution 687, April 3, 1991. </w:t>
      </w:r>
    </w:p>
    <w:p w14:paraId="18032E6C">
      <w:pPr>
        <w:pStyle w:val="2"/>
        <w:spacing w:line="240" w:lineRule="auto"/>
        <w:ind w:left="315" w:leftChars="15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会议论文</w:t>
      </w:r>
    </w:p>
    <w:p w14:paraId="4DE71433">
      <w:pPr>
        <w:pStyle w:val="2"/>
        <w:spacing w:line="240" w:lineRule="auto"/>
        <w:ind w:left="315" w:leftChars="15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标注顺序：责任者与责任方式/论文</w:t>
      </w:r>
      <w:r>
        <w:rPr>
          <w:color w:val="auto"/>
          <w:sz w:val="21"/>
          <w:szCs w:val="21"/>
        </w:rPr>
        <w:t>题目</w:t>
      </w:r>
      <w:r>
        <w:rPr>
          <w:rFonts w:hint="eastAsia"/>
          <w:color w:val="auto"/>
          <w:sz w:val="21"/>
          <w:szCs w:val="21"/>
        </w:rPr>
        <w:t>/会议名称/会议主办方/会议地址/</w:t>
      </w:r>
      <w:r>
        <w:rPr>
          <w:color w:val="auto"/>
          <w:sz w:val="21"/>
          <w:szCs w:val="21"/>
        </w:rPr>
        <w:t>发布日期</w:t>
      </w:r>
      <w:r>
        <w:rPr>
          <w:rFonts w:hint="eastAsia"/>
          <w:color w:val="auto"/>
          <w:sz w:val="21"/>
          <w:szCs w:val="21"/>
        </w:rPr>
        <w:t>；论文题目</w:t>
      </w:r>
      <w:r>
        <w:rPr>
          <w:rFonts w:hint="eastAsia" w:hAnsi="宋体" w:cs="宋体"/>
          <w:color w:val="auto"/>
          <w:sz w:val="21"/>
          <w:szCs w:val="21"/>
        </w:rPr>
        <w:t>用</w:t>
      </w:r>
      <w:r>
        <w:rPr>
          <w:rFonts w:hAnsi="宋体" w:cs="宋体"/>
          <w:color w:val="auto"/>
          <w:sz w:val="21"/>
          <w:szCs w:val="21"/>
        </w:rPr>
        <w:t>双引号引上</w:t>
      </w:r>
      <w:r>
        <w:rPr>
          <w:rFonts w:hint="eastAsia" w:hAnsi="宋体" w:cs="宋体"/>
          <w:color w:val="auto"/>
          <w:sz w:val="21"/>
          <w:szCs w:val="21"/>
        </w:rPr>
        <w:t>。</w:t>
      </w:r>
    </w:p>
    <w:p w14:paraId="4F656641">
      <w:pPr>
        <w:pStyle w:val="2"/>
        <w:spacing w:line="240" w:lineRule="auto"/>
        <w:ind w:left="105" w:leftChars="50" w:firstLine="210" w:firstLineChars="1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示例：</w:t>
      </w:r>
    </w:p>
    <w:p w14:paraId="48F5796E">
      <w:pPr>
        <w:pStyle w:val="2"/>
        <w:spacing w:line="240" w:lineRule="auto"/>
        <w:ind w:right="420" w:rightChars="200" w:firstLine="420" w:firstLineChars="200"/>
        <w:rPr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Albina Tretyakava,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>“Fuel and Energy in the CIS”, paper delivered to Ecology ’90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>conference, sponsored by the America Enterprise Institute for Public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>Policy Research, Airlie House, Virginia, April 19-22, 1990.</w:t>
      </w:r>
      <w:r>
        <w:rPr>
          <w:rFonts w:hint="eastAsia"/>
          <w:color w:val="auto"/>
          <w:sz w:val="21"/>
          <w:szCs w:val="21"/>
        </w:rPr>
        <w:t xml:space="preserve"> </w:t>
      </w:r>
    </w:p>
    <w:p w14:paraId="4F4D29AF">
      <w:pPr>
        <w:pStyle w:val="2"/>
        <w:spacing w:line="240" w:lineRule="auto"/>
        <w:ind w:left="105" w:leftChars="50" w:firstLine="210" w:firstLineChars="10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学位论文</w:t>
      </w:r>
    </w:p>
    <w:p w14:paraId="6621EC7E">
      <w:pPr>
        <w:pStyle w:val="2"/>
        <w:spacing w:line="240" w:lineRule="auto"/>
        <w:ind w:firstLine="315" w:firstLineChars="15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标注顺序：责任者与责任方式/论文</w:t>
      </w:r>
      <w:r>
        <w:rPr>
          <w:color w:val="auto"/>
          <w:sz w:val="21"/>
          <w:szCs w:val="21"/>
        </w:rPr>
        <w:t>题目</w:t>
      </w:r>
      <w:r>
        <w:rPr>
          <w:rFonts w:hint="eastAsia"/>
          <w:color w:val="auto"/>
          <w:sz w:val="21"/>
          <w:szCs w:val="21"/>
        </w:rPr>
        <w:t>/论文性质/地点或学校/论文形成时间。</w:t>
      </w:r>
    </w:p>
    <w:p w14:paraId="781C0FED">
      <w:pPr>
        <w:pStyle w:val="2"/>
        <w:spacing w:line="240" w:lineRule="auto"/>
        <w:ind w:firstLine="315" w:firstLineChars="15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示例：</w:t>
      </w:r>
    </w:p>
    <w:p w14:paraId="30E7D1A0">
      <w:pPr>
        <w:pStyle w:val="2"/>
        <w:spacing w:line="240" w:lineRule="auto"/>
        <w:ind w:right="420" w:rightChars="200" w:firstLine="420" w:firstLineChars="200"/>
        <w:rPr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Steven Flank, Reconstructing Rockets: The Politics of Developing Military Technologies in Brazil,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>Indian and Israel, Ph.D. dissertation, MIT, 1993.</w:t>
      </w:r>
    </w:p>
    <w:p w14:paraId="3D16FB0F">
      <w:pPr>
        <w:pStyle w:val="2"/>
        <w:spacing w:line="240" w:lineRule="auto"/>
        <w:ind w:firstLine="420" w:firstLineChars="20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互联网资料</w:t>
      </w:r>
    </w:p>
    <w:p w14:paraId="45298148">
      <w:pPr>
        <w:pStyle w:val="2"/>
        <w:spacing w:line="240" w:lineRule="auto"/>
        <w:ind w:firstLine="420" w:firstLineChars="20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对于只在网上发布的资料</w:t>
      </w:r>
      <w:r>
        <w:rPr>
          <w:rFonts w:hint="eastAsia"/>
          <w:color w:val="auto"/>
          <w:sz w:val="21"/>
          <w:szCs w:val="21"/>
          <w:lang w:eastAsia="zh-CN"/>
        </w:rPr>
        <w:t>，</w:t>
      </w:r>
      <w:r>
        <w:rPr>
          <w:color w:val="auto"/>
          <w:sz w:val="21"/>
          <w:szCs w:val="21"/>
        </w:rPr>
        <w:t>如果可能的话</w:t>
      </w:r>
      <w:r>
        <w:rPr>
          <w:rFonts w:hint="eastAsia"/>
          <w:color w:val="auto"/>
          <w:sz w:val="21"/>
          <w:szCs w:val="21"/>
          <w:lang w:eastAsia="zh-CN"/>
        </w:rPr>
        <w:t>，</w:t>
      </w:r>
      <w:r>
        <w:rPr>
          <w:color w:val="auto"/>
          <w:sz w:val="21"/>
          <w:szCs w:val="21"/>
        </w:rPr>
        <w:t>也要把作者和题目注出来</w:t>
      </w:r>
      <w:r>
        <w:rPr>
          <w:rFonts w:hint="eastAsia"/>
          <w:color w:val="auto"/>
          <w:sz w:val="21"/>
          <w:szCs w:val="21"/>
          <w:lang w:eastAsia="zh-CN"/>
        </w:rPr>
        <w:t>，</w:t>
      </w:r>
      <w:r>
        <w:rPr>
          <w:color w:val="auto"/>
          <w:sz w:val="21"/>
          <w:szCs w:val="21"/>
        </w:rPr>
        <w:t>并注明发布的日期或最后修改的日期</w:t>
      </w:r>
      <w:r>
        <w:rPr>
          <w:rFonts w:hint="eastAsia"/>
          <w:color w:val="auto"/>
          <w:sz w:val="21"/>
          <w:szCs w:val="21"/>
          <w:lang w:eastAsia="zh-CN"/>
        </w:rPr>
        <w:t>。</w:t>
      </w:r>
      <w:r>
        <w:rPr>
          <w:color w:val="auto"/>
          <w:sz w:val="21"/>
          <w:szCs w:val="21"/>
        </w:rPr>
        <w:t>提供的网址要完整</w:t>
      </w:r>
      <w:r>
        <w:rPr>
          <w:rFonts w:hint="eastAsia"/>
          <w:color w:val="auto"/>
          <w:sz w:val="21"/>
          <w:szCs w:val="21"/>
          <w:lang w:eastAsia="zh-CN"/>
        </w:rPr>
        <w:t>，</w:t>
      </w:r>
      <w:r>
        <w:rPr>
          <w:color w:val="auto"/>
          <w:sz w:val="21"/>
          <w:szCs w:val="21"/>
        </w:rPr>
        <w:t>而且在一段时间内能够保持稳定</w:t>
      </w:r>
      <w:r>
        <w:rPr>
          <w:rFonts w:hint="eastAsia"/>
          <w:color w:val="auto"/>
          <w:sz w:val="21"/>
          <w:szCs w:val="21"/>
        </w:rPr>
        <w:t>；</w:t>
      </w:r>
      <w:r>
        <w:rPr>
          <w:color w:val="auto"/>
          <w:sz w:val="21"/>
          <w:szCs w:val="21"/>
        </w:rPr>
        <w:t>内容经常变化的网址</w:t>
      </w:r>
      <w:r>
        <w:rPr>
          <w:rFonts w:hint="eastAsia"/>
          <w:color w:val="auto"/>
          <w:sz w:val="21"/>
          <w:szCs w:val="21"/>
          <w:lang w:eastAsia="zh-CN"/>
        </w:rPr>
        <w:t>，</w:t>
      </w:r>
      <w:r>
        <w:rPr>
          <w:color w:val="auto"/>
          <w:sz w:val="21"/>
          <w:szCs w:val="21"/>
        </w:rPr>
        <w:t>比如报纸的网络版</w:t>
      </w:r>
      <w:r>
        <w:rPr>
          <w:rFonts w:hint="eastAsia"/>
          <w:color w:val="auto"/>
          <w:sz w:val="21"/>
          <w:szCs w:val="21"/>
          <w:lang w:eastAsia="zh-CN"/>
        </w:rPr>
        <w:t>，</w:t>
      </w:r>
      <w:r>
        <w:rPr>
          <w:color w:val="auto"/>
          <w:sz w:val="21"/>
          <w:szCs w:val="21"/>
        </w:rPr>
        <w:t>就不必注明</w:t>
      </w:r>
      <w:r>
        <w:rPr>
          <w:rFonts w:hint="eastAsia"/>
          <w:color w:val="auto"/>
          <w:sz w:val="21"/>
          <w:szCs w:val="21"/>
        </w:rPr>
        <w:t>。</w:t>
      </w:r>
    </w:p>
    <w:p w14:paraId="29D22863">
      <w:pPr>
        <w:pStyle w:val="2"/>
        <w:spacing w:line="240" w:lineRule="auto"/>
        <w:ind w:left="105" w:leftChars="50" w:firstLine="210" w:firstLineChars="1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示例：</w:t>
      </w:r>
    </w:p>
    <w:p w14:paraId="2B9201C8">
      <w:pPr>
        <w:pStyle w:val="2"/>
        <w:spacing w:line="240" w:lineRule="auto"/>
        <w:ind w:right="420" w:rightChars="200" w:firstLine="420" w:firstLineChars="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Astrid Forland,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“Norway’s Nuclear Odyssey”, The Nonproliferation Review, Vol. 4 (Winter 1997), http://cns.miis.edu/npr/forland.htm. </w:t>
      </w:r>
    </w:p>
    <w:p w14:paraId="24F93AA6">
      <w:pPr>
        <w:pStyle w:val="2"/>
        <w:numPr>
          <w:ilvl w:val="0"/>
          <w:numId w:val="2"/>
        </w:numPr>
        <w:spacing w:line="240" w:lineRule="auto"/>
        <w:ind w:firstLine="422" w:firstLineChars="200"/>
        <w:outlineLvl w:val="2"/>
        <w:rPr>
          <w:rFonts w:hint="eastAsia" w:ascii="楷体_GB2312" w:hAnsi="宋体" w:eastAsia="楷体_GB2312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auto"/>
          <w:sz w:val="21"/>
          <w:szCs w:val="21"/>
          <w:lang w:val="en-US" w:eastAsia="zh-CN"/>
        </w:rPr>
        <w:t>中外文混排</w:t>
      </w:r>
    </w:p>
    <w:p w14:paraId="1BB8F26E">
      <w:pPr>
        <w:pStyle w:val="2"/>
        <w:spacing w:line="240" w:lineRule="auto"/>
        <w:ind w:firstLine="420" w:firstLineChars="2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凡注释中中外文混排的，最后标点随最后一个字使用，最后是中文的用中文标点，外文的用外文标点。</w:t>
      </w:r>
    </w:p>
    <w:p w14:paraId="728A89C6">
      <w:pPr>
        <w:pStyle w:val="2"/>
        <w:spacing w:line="240" w:lineRule="auto"/>
        <w:ind w:firstLine="420" w:firstLineChars="2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示例：</w:t>
      </w:r>
    </w:p>
    <w:p w14:paraId="6A4F6B02">
      <w:pPr>
        <w:pStyle w:val="2"/>
        <w:spacing w:line="240" w:lineRule="auto"/>
        <w:ind w:right="420" w:rightChars="200"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扬之水：《两宋茶诗与茶事》，《文学遗产通讯》（网络版试刊）2006年第1期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 xml:space="preserve"> http://www.literature.org.cn /Article.asp?ID=199</w:t>
      </w:r>
      <w:r>
        <w:rPr>
          <w:rFonts w:hint="default" w:ascii="仿宋_GB2312" w:hAnsi="宋体" w:eastAsia="仿宋_GB2312" w:cs="宋体"/>
          <w:color w:val="auto"/>
          <w:sz w:val="21"/>
          <w:szCs w:val="21"/>
          <w:lang w:val="en-US"/>
        </w:rPr>
        <w:t xml:space="preserve">,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2007</w:t>
      </w:r>
      <w:r>
        <w:rPr>
          <w:rFonts w:hint="eastAsia" w:ascii="仿宋_GB2312" w:hAnsi="宋体" w:eastAsia="仿宋_GB2312" w:cs="宋体"/>
          <w:color w:val="auto"/>
          <w:sz w:val="21"/>
          <w:szCs w:val="21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9</w:t>
      </w:r>
      <w:r>
        <w:rPr>
          <w:rFonts w:hint="eastAsia" w:ascii="仿宋_GB2312" w:hAnsi="宋体" w:eastAsia="仿宋_GB2312" w:cs="宋体"/>
          <w:color w:val="auto"/>
          <w:sz w:val="21"/>
          <w:szCs w:val="21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13</w:t>
      </w:r>
      <w:r>
        <w:rPr>
          <w:rFonts w:hint="eastAsia" w:ascii="仿宋_GB2312" w:hAnsi="宋体" w:eastAsia="仿宋_GB2312" w:cs="宋体"/>
          <w:color w:val="auto"/>
          <w:sz w:val="21"/>
          <w:szCs w:val="21"/>
        </w:rPr>
        <w:t>日。</w:t>
      </w:r>
    </w:p>
    <w:p w14:paraId="3680354C">
      <w:pPr>
        <w:pStyle w:val="2"/>
        <w:spacing w:line="240" w:lineRule="auto"/>
        <w:ind w:right="420" w:rightChars="200"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徐小苗：《</w:t>
      </w:r>
      <w:r>
        <w:rPr>
          <w:rFonts w:ascii="仿宋_GB2312" w:hAnsi="宋体" w:eastAsia="仿宋_GB2312" w:cs="宋体"/>
          <w:color w:val="auto"/>
          <w:sz w:val="21"/>
          <w:szCs w:val="21"/>
        </w:rPr>
        <w:t>美奥尔曼教授在中国谈马克思主义</w:t>
      </w:r>
      <w:r>
        <w:rPr>
          <w:rFonts w:hint="eastAsia" w:ascii="仿宋_GB2312" w:hAnsi="宋体" w:eastAsia="仿宋_GB2312" w:cs="宋体"/>
          <w:color w:val="auto"/>
          <w:sz w:val="21"/>
          <w:szCs w:val="21"/>
        </w:rPr>
        <w:t>》</w:t>
      </w:r>
      <w:r>
        <w:rPr>
          <w:rFonts w:hint="eastAsia" w:ascii="仿宋_GB2312" w:hAnsi="宋体" w:eastAsia="仿宋_GB2312" w:cs="宋体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instrText xml:space="preserve"> HYPERLINK "http://www.weiweikl.com/GYZC49.htm" </w:instrTex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http://www.weiweikl.com/GYZC49.htm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.</w:t>
      </w:r>
    </w:p>
    <w:p w14:paraId="0BD4EFA0">
      <w:pPr>
        <w:pStyle w:val="2"/>
        <w:numPr>
          <w:ilvl w:val="0"/>
          <w:numId w:val="2"/>
        </w:numPr>
        <w:spacing w:line="240" w:lineRule="auto"/>
        <w:ind w:firstLine="422" w:firstLineChars="200"/>
        <w:outlineLvl w:val="2"/>
        <w:rPr>
          <w:rFonts w:hint="eastAsia" w:ascii="楷体_GB2312" w:hAnsi="宋体" w:eastAsia="楷体_GB2312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auto"/>
          <w:sz w:val="21"/>
          <w:szCs w:val="21"/>
          <w:lang w:val="en-US" w:eastAsia="zh-CN"/>
        </w:rPr>
        <w:t>引文后注释号的位置</w:t>
      </w:r>
    </w:p>
    <w:p w14:paraId="43784D90">
      <w:pPr>
        <w:pStyle w:val="2"/>
        <w:numPr>
          <w:ilvl w:val="0"/>
          <w:numId w:val="0"/>
        </w:numPr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根据引文的性质及上下文来确定。一般情况下，引用完整的一段话，点号在引号内，注释号（阳圆）在引号外；如果引者只是把引语作为自己话的一部分，即不完整的、夹引夹议和转述类的引文，那么，句末的点号应放在引号和注释号之后。</w:t>
      </w:r>
    </w:p>
    <w:p w14:paraId="2F84AB32">
      <w:pPr>
        <w:pStyle w:val="2"/>
        <w:spacing w:line="240" w:lineRule="auto"/>
        <w:ind w:firstLine="420" w:firstLineChars="200"/>
        <w:rPr>
          <w:rFonts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示例：</w:t>
      </w:r>
    </w:p>
    <w:p w14:paraId="69A71EF8">
      <w:pPr>
        <w:pStyle w:val="2"/>
        <w:spacing w:line="240" w:lineRule="auto"/>
        <w:ind w:firstLine="420" w:firstLineChars="200"/>
        <w:rPr>
          <w:rFonts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文章认为：“语言与文化是共生的、互依的，两者息息相关：语言不但是文化重要而突出的组成部分，而且又是文化的一种表现形式；同时，它还是文化的产物。”</w:t>
      </w:r>
      <w:r>
        <w:rPr>
          <w:rStyle w:val="7"/>
          <w:rFonts w:hint="eastAsia" w:ascii="仿宋_GB2312" w:hAnsi="宋体" w:eastAsia="仿宋_GB2312" w:cs="宋体"/>
          <w:color w:val="auto"/>
          <w:sz w:val="21"/>
          <w:szCs w:val="21"/>
        </w:rPr>
        <w:footnoteReference w:id="0"/>
      </w:r>
    </w:p>
    <w:p w14:paraId="13FB70D6">
      <w:pPr>
        <w:pStyle w:val="2"/>
        <w:spacing w:line="240" w:lineRule="auto"/>
        <w:ind w:firstLine="420" w:firstLineChars="200"/>
        <w:rPr>
          <w:rFonts w:hint="eastAsia" w:ascii="仿宋_GB2312" w:hAnsi="宋体" w:eastAsia="仿宋_GB2312" w:cs="宋体"/>
          <w:color w:val="auto"/>
          <w:sz w:val="21"/>
          <w:szCs w:val="21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</w:rPr>
        <w:t>那情景，“人还没看见，已经先听见歌声了；或者人已经转过山头望不见了，歌声还余音袅袅，不绝如缕”</w:t>
      </w:r>
      <w:r>
        <w:rPr>
          <w:rStyle w:val="7"/>
          <w:rFonts w:hint="eastAsia" w:ascii="仿宋_GB2312" w:hAnsi="宋体" w:eastAsia="仿宋_GB2312" w:cs="宋体"/>
          <w:color w:val="auto"/>
          <w:sz w:val="21"/>
          <w:szCs w:val="21"/>
        </w:rPr>
        <w:footnoteReference w:id="1"/>
      </w:r>
      <w:r>
        <w:rPr>
          <w:rFonts w:hint="eastAsia" w:ascii="仿宋_GB2312" w:hAnsi="宋体" w:eastAsia="仿宋_GB2312" w:cs="宋体"/>
          <w:color w:val="auto"/>
          <w:sz w:val="21"/>
          <w:szCs w:val="21"/>
        </w:rPr>
        <w:t>。</w:t>
      </w:r>
    </w:p>
    <w:p w14:paraId="6A961C0A">
      <w:pPr>
        <w:numPr>
          <w:ilvl w:val="0"/>
          <w:numId w:val="0"/>
        </w:numPr>
        <w:spacing w:line="240" w:lineRule="auto"/>
        <w:rPr>
          <w:rFonts w:hint="default"/>
          <w:color w:val="auto"/>
          <w:sz w:val="21"/>
          <w:szCs w:val="21"/>
          <w:lang w:val="en-US" w:eastAsia="zh-CN"/>
        </w:rPr>
      </w:pPr>
    </w:p>
    <w:p w14:paraId="243BA303">
      <w:pPr>
        <w:numPr>
          <w:ilvl w:val="0"/>
          <w:numId w:val="0"/>
        </w:numPr>
        <w:spacing w:line="240" w:lineRule="auto"/>
        <w:rPr>
          <w:rFonts w:hint="default"/>
          <w:color w:val="auto"/>
          <w:sz w:val="21"/>
          <w:szCs w:val="21"/>
          <w:lang w:val="en-US" w:eastAsia="zh-CN"/>
        </w:rPr>
      </w:pPr>
    </w:p>
    <w:p w14:paraId="20598019">
      <w:pPr>
        <w:numPr>
          <w:ilvl w:val="0"/>
          <w:numId w:val="0"/>
        </w:numPr>
        <w:spacing w:line="240" w:lineRule="auto"/>
        <w:rPr>
          <w:rFonts w:hint="default"/>
          <w:color w:val="auto"/>
          <w:sz w:val="21"/>
          <w:szCs w:val="21"/>
          <w:lang w:val="en-US" w:eastAsia="zh-CN"/>
        </w:rPr>
      </w:pPr>
    </w:p>
    <w:p w14:paraId="1F85E1F5">
      <w:pPr>
        <w:numPr>
          <w:ilvl w:val="0"/>
          <w:numId w:val="0"/>
        </w:numPr>
        <w:spacing w:line="240" w:lineRule="auto"/>
        <w:jc w:val="right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《“一带一路”史研究》辑刊编辑部</w:t>
      </w:r>
    </w:p>
    <w:p w14:paraId="09919973">
      <w:pPr>
        <w:numPr>
          <w:ilvl w:val="0"/>
          <w:numId w:val="0"/>
        </w:numPr>
        <w:spacing w:line="240" w:lineRule="auto"/>
        <w:jc w:val="right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-SA"/>
        </w:rPr>
        <w:t>2025</w:t>
      </w:r>
      <w:r>
        <w:rPr>
          <w:rFonts w:hint="eastAsia"/>
          <w:color w:val="auto"/>
          <w:sz w:val="21"/>
          <w:szCs w:val="21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-SA"/>
        </w:rPr>
        <w:t>10</w:t>
      </w:r>
      <w:r>
        <w:rPr>
          <w:rFonts w:hint="eastAsia"/>
          <w:color w:val="auto"/>
          <w:sz w:val="21"/>
          <w:szCs w:val="21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-SA"/>
        </w:rPr>
        <w:t>12</w:t>
      </w:r>
      <w:r>
        <w:rPr>
          <w:rFonts w:hint="eastAsia"/>
          <w:color w:val="auto"/>
          <w:sz w:val="21"/>
          <w:szCs w:val="21"/>
          <w:lang w:val="en-US" w:eastAsia="zh-CN"/>
        </w:rPr>
        <w:t>日</w:t>
      </w:r>
    </w:p>
    <w:sectPr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CABDU+ËÎÌå">
    <w:altName w:val="Segoe Print"/>
    <w:panose1 w:val="02010600030101010101"/>
    <w:charset w:val="00"/>
    <w:family w:val="auto"/>
    <w:pitch w:val="default"/>
    <w:sig w:usb0="00000000" w:usb1="00000000" w:usb2="01010101" w:usb3="01010101" w:csb0="01010101" w:csb1="01010101"/>
  </w:font>
  <w:font w:name="MathJax_Vector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59767659">
      <w:pPr>
        <w:pStyle w:val="3"/>
        <w:rPr>
          <w:rFonts w:ascii="宋体" w:hAnsi="宋体"/>
          <w:sz w:val="15"/>
          <w:szCs w:val="15"/>
        </w:rPr>
      </w:pPr>
      <w:r>
        <w:rPr>
          <w:rStyle w:val="7"/>
          <w:rFonts w:ascii="宋体" w:hAnsi="宋体"/>
          <w:sz w:val="15"/>
          <w:szCs w:val="15"/>
        </w:rPr>
        <w:footnoteRef/>
      </w:r>
      <w:r>
        <w:rPr>
          <w:rFonts w:hint="eastAsia" w:ascii="宋体" w:hAnsi="宋体"/>
          <w:sz w:val="15"/>
          <w:szCs w:val="15"/>
          <w:lang w:val="en-US" w:eastAsia="zh-CN"/>
        </w:rPr>
        <w:t xml:space="preserve"> </w:t>
      </w:r>
      <w:r>
        <w:rPr>
          <w:rFonts w:hint="eastAsia" w:ascii="宋体" w:hAnsi="宋体" w:cs="宋体"/>
          <w:sz w:val="15"/>
          <w:szCs w:val="15"/>
        </w:rPr>
        <w:t>点号在引号内，注释号（阳圆）在引号外。</w:t>
      </w:r>
    </w:p>
  </w:footnote>
  <w:footnote w:id="1">
    <w:p w14:paraId="4EE0E343">
      <w:pPr>
        <w:pStyle w:val="3"/>
      </w:pPr>
      <w:r>
        <w:rPr>
          <w:rStyle w:val="7"/>
          <w:rFonts w:ascii="宋体" w:hAnsi="宋体"/>
          <w:sz w:val="15"/>
          <w:szCs w:val="15"/>
        </w:rPr>
        <w:footnoteRef/>
      </w:r>
      <w:r>
        <w:rPr>
          <w:rFonts w:hint="eastAsia" w:ascii="宋体" w:hAnsi="宋体"/>
          <w:sz w:val="15"/>
          <w:szCs w:val="15"/>
          <w:lang w:val="en-US" w:eastAsia="zh-CN"/>
        </w:rPr>
        <w:t xml:space="preserve"> </w:t>
      </w:r>
      <w:r>
        <w:rPr>
          <w:rFonts w:hint="eastAsia" w:ascii="宋体" w:hAnsi="宋体" w:cs="宋体"/>
          <w:sz w:val="15"/>
          <w:szCs w:val="15"/>
        </w:rPr>
        <w:t>句末的点号应放在引号和注释号之后。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43C2B"/>
    <w:multiLevelType w:val="singleLevel"/>
    <w:tmpl w:val="BF543C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FDEE4"/>
    <w:multiLevelType w:val="singleLevel"/>
    <w:tmpl w:val="7CEFDEE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A2B40"/>
    <w:rsid w:val="27760FBE"/>
    <w:rsid w:val="337F2AEE"/>
    <w:rsid w:val="3A5B6B32"/>
    <w:rsid w:val="3C9902E4"/>
    <w:rsid w:val="3F27028A"/>
    <w:rsid w:val="3F9FB912"/>
    <w:rsid w:val="4FFBF56F"/>
    <w:rsid w:val="648837E3"/>
    <w:rsid w:val="6BA76183"/>
    <w:rsid w:val="76F7B5FC"/>
    <w:rsid w:val="7D7A2B40"/>
    <w:rsid w:val="AAEA771B"/>
    <w:rsid w:val="D75A9B3A"/>
    <w:rsid w:val="F3BF54CF"/>
    <w:rsid w:val="F6BF9907"/>
    <w:rsid w:val="FED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5499</Words>
  <Characters>7223</Characters>
  <Lines>0</Lines>
  <Paragraphs>0</Paragraphs>
  <TotalTime>0</TotalTime>
  <ScaleCrop>false</ScaleCrop>
  <LinksUpToDate>false</LinksUpToDate>
  <CharactersWithSpaces>7537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2025-10-12T14:42:00Z</dcterms:created>
  <dc:creator>wm</dc:creator>
  <cp:lastModifiedBy>jin</cp:lastModifiedBy>
  <dcterms:modified xsi:type="dcterms:W3CDTF">2025-11-15T07:46:57Z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8CAE3121AF12494EBF57E77E9C6944B6_13</vt:lpwstr>
  </property>
  <property fmtid="{D5CDD505-2E9C-101B-9397-08002B2CF9AE}" pid="4" name="KSOTemplateDocerSaveRecord">
    <vt:lpwstr>eyJoZGlkIjoiNGYwMDdkMzBmNjc5Yzk4ZmQ2MmYxNzkzMjI0NWY0ODkifQ==</vt:lpwstr>
  </property>
</Properties>
</file>